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503FE" w14:textId="77777777" w:rsidR="005C1BCA" w:rsidRPr="0086374B" w:rsidRDefault="00D42104" w:rsidP="0086374B">
      <w:pPr>
        <w:jc w:val="center"/>
        <w:rPr>
          <w:noProof/>
          <w:snapToGrid w:val="0"/>
          <w:szCs w:val="24"/>
          <w:lang w:val="es-ES" w:eastAsia="es-ES"/>
        </w:rPr>
      </w:pPr>
      <w:r>
        <w:rPr>
          <w:noProof/>
          <w:szCs w:val="24"/>
          <w:lang w:eastAsia="es-CO"/>
        </w:rPr>
        <w:object w:dxaOrig="1440" w:dyaOrig="1440" w14:anchorId="0DB0A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5pt;margin-top:-50.35pt;width:38pt;height:39.05pt;z-index:251658240;mso-wrap-edited:f" fillcolor="#0c9">
            <v:imagedata r:id="rId11" o:title=""/>
          </v:shape>
          <o:OLEObject Type="Embed" ProgID="PBrush" ShapeID="_x0000_s2050" DrawAspect="Content" ObjectID="_1744483645" r:id="rId12"/>
        </w:object>
      </w:r>
      <w:r w:rsidR="005C1BCA" w:rsidRPr="0086374B">
        <w:rPr>
          <w:snapToGrid w:val="0"/>
          <w:szCs w:val="24"/>
          <w:lang w:val="es-ES_tradnl" w:eastAsia="es-ES"/>
        </w:rPr>
        <w:t>Ministerio de Minas y Energía</w:t>
      </w:r>
    </w:p>
    <w:p w14:paraId="202700E4" w14:textId="77777777" w:rsidR="005C1BCA" w:rsidRPr="001E04A9" w:rsidRDefault="005C1BCA" w:rsidP="006E58C2"/>
    <w:p w14:paraId="1359E799" w14:textId="77777777" w:rsidR="005C1BCA" w:rsidRPr="005C1BCA" w:rsidRDefault="005C1BCA" w:rsidP="006E58C2">
      <w:pPr>
        <w:rPr>
          <w:snapToGrid w:val="0"/>
          <w:lang w:val="es-ES_tradnl" w:eastAsia="es-ES"/>
        </w:rPr>
      </w:pPr>
    </w:p>
    <w:p w14:paraId="7B1697F8" w14:textId="77777777" w:rsidR="005C1BCA" w:rsidRPr="00982158" w:rsidRDefault="005C1BCA" w:rsidP="00982158">
      <w:pPr>
        <w:jc w:val="center"/>
        <w:rPr>
          <w:b/>
          <w:bCs/>
          <w:snapToGrid w:val="0"/>
          <w:szCs w:val="24"/>
          <w:lang w:val="es-ES_tradnl" w:eastAsia="es-ES"/>
        </w:rPr>
      </w:pPr>
      <w:r w:rsidRPr="00982158">
        <w:rPr>
          <w:b/>
          <w:bCs/>
          <w:snapToGrid w:val="0"/>
          <w:szCs w:val="24"/>
          <w:lang w:val="es-ES_tradnl" w:eastAsia="es-ES"/>
        </w:rPr>
        <w:t>COMISIÓN DE REGULACIÓN DE ENERGÍA Y GAS</w:t>
      </w:r>
    </w:p>
    <w:p w14:paraId="2CD0F88F" w14:textId="77777777" w:rsidR="005C1BCA" w:rsidRPr="005C1BCA" w:rsidRDefault="005C1BCA" w:rsidP="006E58C2">
      <w:pPr>
        <w:rPr>
          <w:snapToGrid w:val="0"/>
          <w:lang w:val="es-ES_tradnl" w:eastAsia="es-ES"/>
        </w:rPr>
      </w:pPr>
    </w:p>
    <w:p w14:paraId="67DC5C57" w14:textId="77777777" w:rsidR="005C1BCA" w:rsidRPr="005C1BCA" w:rsidRDefault="005C1BCA" w:rsidP="006E58C2">
      <w:pPr>
        <w:rPr>
          <w:snapToGrid w:val="0"/>
          <w:lang w:val="es-ES_tradnl" w:eastAsia="es-ES"/>
        </w:rPr>
      </w:pPr>
    </w:p>
    <w:p w14:paraId="0BCF6002" w14:textId="0F06AD33" w:rsidR="005C1BCA" w:rsidRPr="0086374B" w:rsidRDefault="005C1BCA" w:rsidP="0086374B">
      <w:pPr>
        <w:jc w:val="center"/>
        <w:rPr>
          <w:b/>
          <w:bCs/>
          <w:snapToGrid w:val="0"/>
          <w:szCs w:val="24"/>
          <w:lang w:val="es-ES_tradnl" w:eastAsia="es-ES"/>
        </w:rPr>
      </w:pPr>
      <w:r w:rsidRPr="0086374B">
        <w:rPr>
          <w:b/>
          <w:bCs/>
          <w:snapToGrid w:val="0"/>
          <w:szCs w:val="24"/>
          <w:lang w:val="es-ES_tradnl" w:eastAsia="es-ES"/>
        </w:rPr>
        <w:t xml:space="preserve">RESOLUCIÓN No. </w:t>
      </w:r>
      <w:r w:rsidR="007E61D1" w:rsidRPr="00CF1A29">
        <w:rPr>
          <w:b/>
          <w:bCs/>
          <w:snapToGrid w:val="0"/>
          <w:sz w:val="32"/>
          <w:szCs w:val="32"/>
          <w:lang w:val="es-ES_tradnl" w:eastAsia="es-ES"/>
        </w:rPr>
        <w:t>502</w:t>
      </w:r>
      <w:r w:rsidR="00CB3FD5" w:rsidRPr="00CF1A29">
        <w:rPr>
          <w:b/>
          <w:bCs/>
          <w:snapToGrid w:val="0"/>
          <w:sz w:val="32"/>
          <w:szCs w:val="32"/>
          <w:lang w:val="es-ES_tradnl" w:eastAsia="es-ES"/>
        </w:rPr>
        <w:t xml:space="preserve"> </w:t>
      </w:r>
      <w:r w:rsidR="00753B5A">
        <w:rPr>
          <w:b/>
          <w:bCs/>
          <w:snapToGrid w:val="0"/>
          <w:sz w:val="32"/>
          <w:szCs w:val="32"/>
          <w:lang w:val="es-ES_tradnl" w:eastAsia="es-ES"/>
        </w:rPr>
        <w:t xml:space="preserve">035 </w:t>
      </w:r>
      <w:r w:rsidRPr="0086374B">
        <w:rPr>
          <w:b/>
          <w:bCs/>
          <w:snapToGrid w:val="0"/>
          <w:szCs w:val="24"/>
          <w:lang w:val="es-ES_tradnl" w:eastAsia="es-ES"/>
        </w:rPr>
        <w:t>DE 20</w:t>
      </w:r>
      <w:r w:rsidR="00CD7D9E" w:rsidRPr="0086374B">
        <w:rPr>
          <w:b/>
          <w:bCs/>
          <w:snapToGrid w:val="0"/>
          <w:szCs w:val="24"/>
          <w:lang w:val="es-ES_tradnl" w:eastAsia="es-ES"/>
        </w:rPr>
        <w:t>2</w:t>
      </w:r>
      <w:r w:rsidR="000D12A0" w:rsidRPr="0086374B">
        <w:rPr>
          <w:b/>
          <w:bCs/>
          <w:snapToGrid w:val="0"/>
          <w:szCs w:val="24"/>
          <w:lang w:val="es-ES_tradnl" w:eastAsia="es-ES"/>
        </w:rPr>
        <w:t>2</w:t>
      </w:r>
    </w:p>
    <w:p w14:paraId="2DA2DD82" w14:textId="77777777" w:rsidR="005C1BCA" w:rsidRPr="005C1BCA" w:rsidRDefault="005C1BCA" w:rsidP="005C1BCA">
      <w:pPr>
        <w:tabs>
          <w:tab w:val="left" w:pos="0"/>
          <w:tab w:val="right" w:pos="9356"/>
        </w:tabs>
        <w:spacing w:after="0"/>
        <w:jc w:val="center"/>
        <w:rPr>
          <w:rFonts w:eastAsia="Times New Roman" w:cs="Arial"/>
          <w:b/>
          <w:snapToGrid w:val="0"/>
          <w:color w:val="000000"/>
          <w:szCs w:val="24"/>
          <w:lang w:val="es-ES_tradnl" w:eastAsia="es-ES"/>
        </w:rPr>
      </w:pPr>
    </w:p>
    <w:p w14:paraId="5C188138" w14:textId="141C4CA9" w:rsidR="005C1BCA" w:rsidRPr="0086374B" w:rsidRDefault="009710C3" w:rsidP="0086374B">
      <w:pPr>
        <w:jc w:val="center"/>
        <w:rPr>
          <w:b/>
          <w:bCs/>
          <w:snapToGrid w:val="0"/>
          <w:sz w:val="32"/>
          <w:szCs w:val="32"/>
          <w:lang w:val="es-ES_tradnl" w:eastAsia="es-ES"/>
        </w:rPr>
      </w:pPr>
      <w:proofErr w:type="gramStart"/>
      <w:r w:rsidRPr="0086374B">
        <w:rPr>
          <w:b/>
          <w:bCs/>
          <w:snapToGrid w:val="0"/>
          <w:szCs w:val="24"/>
          <w:lang w:val="es-ES_tradnl" w:eastAsia="es-ES"/>
        </w:rPr>
        <w:t>(</w:t>
      </w:r>
      <w:r w:rsidRPr="0086374B">
        <w:rPr>
          <w:b/>
          <w:bCs/>
          <w:snapToGrid w:val="0"/>
          <w:sz w:val="32"/>
          <w:szCs w:val="32"/>
          <w:lang w:val="es-ES_tradnl" w:eastAsia="es-ES"/>
        </w:rPr>
        <w:t xml:space="preserve"> 21</w:t>
      </w:r>
      <w:proofErr w:type="gramEnd"/>
      <w:r w:rsidR="00753B5A">
        <w:rPr>
          <w:b/>
          <w:bCs/>
          <w:snapToGrid w:val="0"/>
          <w:sz w:val="32"/>
          <w:szCs w:val="32"/>
          <w:lang w:val="es-ES_tradnl" w:eastAsia="es-ES"/>
        </w:rPr>
        <w:t xml:space="preserve"> DIC. 2022</w:t>
      </w:r>
      <w:r w:rsidR="005C1BCA" w:rsidRPr="0086374B">
        <w:rPr>
          <w:b/>
          <w:bCs/>
          <w:snapToGrid w:val="0"/>
          <w:sz w:val="32"/>
          <w:szCs w:val="32"/>
          <w:lang w:val="es-ES_tradnl" w:eastAsia="es-ES"/>
        </w:rPr>
        <w:t xml:space="preserve"> </w:t>
      </w:r>
      <w:r w:rsidR="005C1BCA" w:rsidRPr="0086374B">
        <w:rPr>
          <w:b/>
          <w:bCs/>
          <w:snapToGrid w:val="0"/>
          <w:szCs w:val="24"/>
          <w:lang w:val="es-ES_tradnl" w:eastAsia="es-ES"/>
        </w:rPr>
        <w:t>)</w:t>
      </w:r>
    </w:p>
    <w:p w14:paraId="332215A4" w14:textId="77777777" w:rsidR="005C1BCA" w:rsidRPr="005C1BCA" w:rsidRDefault="005C1BCA" w:rsidP="005C1BCA">
      <w:pPr>
        <w:spacing w:after="0"/>
        <w:rPr>
          <w:rFonts w:eastAsia="Times New Roman" w:cs="Times New Roman"/>
          <w:bCs/>
          <w:szCs w:val="24"/>
          <w:lang w:eastAsia="es-ES"/>
        </w:rPr>
      </w:pPr>
    </w:p>
    <w:p w14:paraId="3DA4F551" w14:textId="77777777" w:rsidR="007F66B9" w:rsidRDefault="007F66B9" w:rsidP="005C1BCA">
      <w:pPr>
        <w:spacing w:after="0"/>
        <w:jc w:val="center"/>
        <w:rPr>
          <w:rFonts w:eastAsia="Times New Roman" w:cs="Times New Roman"/>
          <w:szCs w:val="24"/>
          <w:lang w:val="es-ES" w:eastAsia="es-ES"/>
        </w:rPr>
      </w:pPr>
    </w:p>
    <w:p w14:paraId="22C24C84" w14:textId="5A6814C2" w:rsidR="00AC038A" w:rsidRDefault="008F0FC4" w:rsidP="005C1BCA">
      <w:pPr>
        <w:spacing w:after="0"/>
        <w:ind w:left="567" w:right="51"/>
        <w:jc w:val="center"/>
        <w:rPr>
          <w:rFonts w:eastAsia="Times New Roman" w:cs="Times New Roman"/>
          <w:szCs w:val="24"/>
          <w:lang w:val="es-ES" w:eastAsia="es-ES"/>
        </w:rPr>
      </w:pPr>
      <w:r w:rsidRPr="008F0FC4">
        <w:rPr>
          <w:rFonts w:eastAsia="Times New Roman" w:cs="Times New Roman"/>
          <w:szCs w:val="24"/>
          <w:lang w:val="es-ES" w:eastAsia="es-ES"/>
        </w:rPr>
        <w:t>Por la cual se resuelve</w:t>
      </w:r>
      <w:r w:rsidR="00785CB2">
        <w:rPr>
          <w:rFonts w:eastAsia="Times New Roman" w:cs="Times New Roman"/>
          <w:szCs w:val="24"/>
          <w:lang w:val="es-ES" w:eastAsia="es-ES"/>
        </w:rPr>
        <w:t>n</w:t>
      </w:r>
      <w:r w:rsidRPr="008F0FC4">
        <w:rPr>
          <w:rFonts w:eastAsia="Times New Roman" w:cs="Times New Roman"/>
          <w:szCs w:val="24"/>
          <w:lang w:val="es-ES" w:eastAsia="es-ES"/>
        </w:rPr>
        <w:t xml:space="preserve"> </w:t>
      </w:r>
      <w:r w:rsidR="009A794C">
        <w:rPr>
          <w:rFonts w:eastAsia="Times New Roman" w:cs="Times New Roman"/>
          <w:szCs w:val="24"/>
          <w:lang w:val="es-ES" w:eastAsia="es-ES"/>
        </w:rPr>
        <w:t>los recursos de reposición i</w:t>
      </w:r>
      <w:r w:rsidR="000C47D5">
        <w:rPr>
          <w:rFonts w:eastAsia="Times New Roman" w:cs="Times New Roman"/>
          <w:szCs w:val="24"/>
          <w:lang w:val="es-ES" w:eastAsia="es-ES"/>
        </w:rPr>
        <w:t xml:space="preserve">nterpuestos por las empresas </w:t>
      </w:r>
      <w:r w:rsidR="002A3BEF" w:rsidRPr="008F0FC4">
        <w:rPr>
          <w:rFonts w:eastAsia="Times New Roman" w:cs="Times New Roman"/>
          <w:szCs w:val="24"/>
          <w:lang w:val="es-ES" w:eastAsia="es-ES"/>
        </w:rPr>
        <w:t>TGI S.A.</w:t>
      </w:r>
      <w:r w:rsidRPr="008F0FC4">
        <w:rPr>
          <w:rFonts w:eastAsia="Times New Roman" w:cs="Times New Roman"/>
          <w:szCs w:val="24"/>
          <w:lang w:val="es-ES" w:eastAsia="es-ES"/>
        </w:rPr>
        <w:t xml:space="preserve"> E.S.P.</w:t>
      </w:r>
      <w:r w:rsidR="000C47D5">
        <w:rPr>
          <w:rFonts w:eastAsia="Times New Roman" w:cs="Times New Roman"/>
          <w:szCs w:val="24"/>
          <w:lang w:val="es-ES" w:eastAsia="es-ES"/>
        </w:rPr>
        <w:t xml:space="preserve"> y VANTI S.A. E.S.P. contra la Resolución CREG 502 024 de 2022</w:t>
      </w:r>
    </w:p>
    <w:p w14:paraId="10A25076" w14:textId="77777777" w:rsidR="00676D84" w:rsidRDefault="00676D84" w:rsidP="005C1BCA">
      <w:pPr>
        <w:spacing w:after="0"/>
        <w:ind w:left="567" w:right="51"/>
        <w:jc w:val="center"/>
        <w:rPr>
          <w:rFonts w:eastAsia="Times New Roman" w:cs="Times New Roman"/>
          <w:b/>
          <w:szCs w:val="24"/>
          <w:lang w:val="es-ES" w:eastAsia="es-ES"/>
        </w:rPr>
      </w:pPr>
    </w:p>
    <w:p w14:paraId="3B9F502F" w14:textId="77777777" w:rsidR="00D42104" w:rsidRDefault="00D42104" w:rsidP="005C1BCA">
      <w:pPr>
        <w:spacing w:after="0"/>
        <w:ind w:left="567" w:right="51"/>
        <w:jc w:val="center"/>
        <w:rPr>
          <w:rFonts w:eastAsia="Times New Roman" w:cs="Times New Roman"/>
          <w:b/>
          <w:szCs w:val="24"/>
          <w:lang w:val="es-ES" w:eastAsia="es-ES"/>
        </w:rPr>
      </w:pPr>
    </w:p>
    <w:p w14:paraId="12FE27EB" w14:textId="77777777" w:rsidR="005C1BCA" w:rsidRPr="005C1BCA" w:rsidRDefault="005C1BCA" w:rsidP="005C1BCA">
      <w:pPr>
        <w:spacing w:after="0"/>
        <w:ind w:left="567" w:right="51"/>
        <w:jc w:val="center"/>
        <w:rPr>
          <w:rFonts w:eastAsia="Times New Roman" w:cs="Times New Roman"/>
          <w:b/>
          <w:szCs w:val="24"/>
          <w:lang w:val="es-ES" w:eastAsia="es-ES"/>
        </w:rPr>
      </w:pPr>
      <w:r w:rsidRPr="005C1BCA">
        <w:rPr>
          <w:rFonts w:eastAsia="Times New Roman" w:cs="Times New Roman"/>
          <w:b/>
          <w:szCs w:val="24"/>
          <w:lang w:val="es-ES" w:eastAsia="es-ES"/>
        </w:rPr>
        <w:t>LA COMISIÓN DE REGULACIÓN DE ENERGÍA Y GAS</w:t>
      </w:r>
    </w:p>
    <w:p w14:paraId="3C362830" w14:textId="77777777" w:rsidR="005C1BCA" w:rsidRPr="005C1BCA" w:rsidRDefault="005C1BCA" w:rsidP="005C1BCA">
      <w:pPr>
        <w:spacing w:after="0"/>
        <w:ind w:right="51"/>
        <w:rPr>
          <w:rFonts w:eastAsia="Times New Roman" w:cs="Times New Roman"/>
          <w:szCs w:val="24"/>
          <w:lang w:val="es-ES" w:eastAsia="es-ES"/>
        </w:rPr>
      </w:pPr>
    </w:p>
    <w:p w14:paraId="042BC6AF" w14:textId="0887D76A" w:rsidR="005C1BCA" w:rsidRPr="005C1BCA" w:rsidRDefault="00A51D7A" w:rsidP="00A51D7A">
      <w:pPr>
        <w:spacing w:after="0"/>
        <w:ind w:right="51"/>
        <w:jc w:val="center"/>
        <w:rPr>
          <w:rFonts w:eastAsia="Times New Roman" w:cs="Arial"/>
          <w:bCs/>
          <w:spacing w:val="-3"/>
          <w:szCs w:val="24"/>
          <w:lang w:val="es-ES" w:eastAsia="es-ES"/>
        </w:rPr>
      </w:pPr>
      <w:r w:rsidRPr="00A51D7A">
        <w:rPr>
          <w:rFonts w:eastAsia="Times New Roman" w:cs="Arial"/>
          <w:color w:val="000000"/>
          <w:szCs w:val="24"/>
          <w:lang w:val="es-ES" w:eastAsia="es-ES"/>
        </w:rPr>
        <w:t>En ejercicio de sus atribuciones legales, en especial de las conferidas por la Ley 142 de 1994, y en desarrollo de los Decretos 2253 de 1994, 1260 de 2013, y</w:t>
      </w:r>
    </w:p>
    <w:p w14:paraId="1E71ED43" w14:textId="77777777" w:rsidR="005C1BCA" w:rsidRDefault="005C1BCA" w:rsidP="005C1BCA">
      <w:pPr>
        <w:spacing w:after="0"/>
        <w:rPr>
          <w:rFonts w:eastAsia="Times New Roman" w:cs="Arial"/>
          <w:color w:val="000000"/>
          <w:szCs w:val="24"/>
          <w:lang w:val="es-ES" w:eastAsia="es-ES"/>
        </w:rPr>
      </w:pPr>
    </w:p>
    <w:p w14:paraId="77584728" w14:textId="77777777" w:rsidR="00D42104" w:rsidRDefault="00D42104" w:rsidP="005C1BCA">
      <w:pPr>
        <w:spacing w:after="0"/>
        <w:rPr>
          <w:rFonts w:eastAsia="Times New Roman" w:cs="Arial"/>
          <w:color w:val="000000"/>
          <w:szCs w:val="24"/>
          <w:lang w:val="es-ES" w:eastAsia="es-ES"/>
        </w:rPr>
      </w:pPr>
    </w:p>
    <w:p w14:paraId="13A7D3F9" w14:textId="77777777" w:rsidR="00A33677" w:rsidRPr="00CE515C" w:rsidRDefault="005C1BCA" w:rsidP="00CE515C">
      <w:pPr>
        <w:spacing w:after="0"/>
        <w:jc w:val="center"/>
        <w:rPr>
          <w:rFonts w:eastAsia="Times New Roman" w:cs="Arial"/>
          <w:b/>
          <w:color w:val="000000"/>
          <w:szCs w:val="24"/>
          <w:lang w:val="es-ES" w:eastAsia="es-ES"/>
        </w:rPr>
      </w:pPr>
      <w:r w:rsidRPr="005C1BCA">
        <w:rPr>
          <w:rFonts w:eastAsia="Times New Roman" w:cs="Arial"/>
          <w:b/>
          <w:color w:val="000000"/>
          <w:szCs w:val="24"/>
          <w:lang w:val="es-ES" w:eastAsia="es-ES"/>
        </w:rPr>
        <w:t xml:space="preserve">C O N S I D E R A N D </w:t>
      </w:r>
      <w:proofErr w:type="gramStart"/>
      <w:r w:rsidRPr="005C1BCA">
        <w:rPr>
          <w:rFonts w:eastAsia="Times New Roman" w:cs="Arial"/>
          <w:b/>
          <w:color w:val="000000"/>
          <w:szCs w:val="24"/>
          <w:lang w:val="es-ES" w:eastAsia="es-ES"/>
        </w:rPr>
        <w:t>O  Q</w:t>
      </w:r>
      <w:proofErr w:type="gramEnd"/>
      <w:r w:rsidRPr="005C1BCA">
        <w:rPr>
          <w:rFonts w:eastAsia="Times New Roman" w:cs="Arial"/>
          <w:b/>
          <w:color w:val="000000"/>
          <w:szCs w:val="24"/>
          <w:lang w:val="es-ES" w:eastAsia="es-ES"/>
        </w:rPr>
        <w:t xml:space="preserve"> U E:</w:t>
      </w:r>
    </w:p>
    <w:p w14:paraId="287BA684" w14:textId="77777777" w:rsidR="00A33677" w:rsidRDefault="00A33677" w:rsidP="00A33677">
      <w:pPr>
        <w:pStyle w:val="Textoindependiente2"/>
        <w:spacing w:after="0" w:line="240" w:lineRule="auto"/>
        <w:ind w:left="578" w:right="-142" w:hanging="720"/>
        <w:jc w:val="both"/>
        <w:rPr>
          <w:rFonts w:ascii="Bookman Old Style" w:hAnsi="Bookman Old Style"/>
          <w:b/>
        </w:rPr>
      </w:pPr>
    </w:p>
    <w:p w14:paraId="5E003CAD" w14:textId="77777777" w:rsidR="00556B5F" w:rsidRPr="006E58C2" w:rsidRDefault="00556B5F" w:rsidP="00A60F17">
      <w:pPr>
        <w:pStyle w:val="Tit1"/>
        <w:ind w:left="567" w:hanging="567"/>
      </w:pPr>
      <w:bookmarkStart w:id="0" w:name="_Toc65009197"/>
      <w:bookmarkStart w:id="1" w:name="_Toc78313052"/>
      <w:r w:rsidRPr="006E58C2">
        <w:t>Antecedentes</w:t>
      </w:r>
      <w:bookmarkEnd w:id="0"/>
      <w:bookmarkEnd w:id="1"/>
    </w:p>
    <w:p w14:paraId="3A98A906" w14:textId="77777777" w:rsidR="00556B5F" w:rsidRDefault="00556B5F" w:rsidP="00A33677">
      <w:pPr>
        <w:pStyle w:val="Textoindependiente2"/>
        <w:spacing w:after="0" w:line="240" w:lineRule="auto"/>
        <w:ind w:left="578" w:right="-142" w:hanging="720"/>
        <w:jc w:val="both"/>
        <w:rPr>
          <w:rFonts w:ascii="Bookman Old Style" w:hAnsi="Bookman Old Style"/>
          <w:b/>
        </w:rPr>
      </w:pPr>
    </w:p>
    <w:p w14:paraId="2AAFCC21" w14:textId="3E6ABF38" w:rsidR="006A456D" w:rsidRPr="006A456D" w:rsidRDefault="006A456D" w:rsidP="006A456D">
      <w:pPr>
        <w:widowControl w:val="0"/>
        <w:spacing w:after="0"/>
        <w:jc w:val="both"/>
        <w:rPr>
          <w:rFonts w:eastAsia="Times New Roman" w:cs="Times New Roman"/>
          <w:iCs/>
          <w:color w:val="000000" w:themeColor="text1"/>
          <w:szCs w:val="24"/>
          <w:lang w:eastAsia="es-ES"/>
        </w:rPr>
      </w:pPr>
      <w:r w:rsidRPr="006A456D">
        <w:rPr>
          <w:rFonts w:eastAsia="Times New Roman" w:cs="Times New Roman"/>
          <w:color w:val="000000" w:themeColor="text1"/>
          <w:szCs w:val="24"/>
          <w:lang w:eastAsia="es-ES"/>
        </w:rPr>
        <w:t>De conformidad con lo establecido en el artículo 14.28 de la Ley 142 de 1994</w:t>
      </w:r>
      <w:r w:rsidR="00ED53AE">
        <w:rPr>
          <w:rFonts w:eastAsia="Times New Roman" w:cs="Times New Roman"/>
          <w:color w:val="000000" w:themeColor="text1"/>
          <w:szCs w:val="24"/>
          <w:lang w:eastAsia="es-ES"/>
        </w:rPr>
        <w:t>,</w:t>
      </w:r>
      <w:r w:rsidRPr="006A456D">
        <w:rPr>
          <w:rFonts w:eastAsia="Times New Roman" w:cs="Times New Roman"/>
          <w:color w:val="000000" w:themeColor="text1"/>
          <w:szCs w:val="24"/>
          <w:lang w:eastAsia="es-ES"/>
        </w:rPr>
        <w:t xml:space="preserve"> el servicio público domiciliario de gas combustible </w:t>
      </w:r>
      <w:r w:rsidRPr="006A456D">
        <w:rPr>
          <w:rFonts w:eastAsia="Times New Roman" w:cs="Times New Roman"/>
          <w:i/>
          <w:color w:val="000000" w:themeColor="text1"/>
          <w:szCs w:val="24"/>
          <w:lang w:eastAsia="es-ES"/>
        </w:rPr>
        <w:t>“</w:t>
      </w:r>
      <w:r w:rsidRPr="006A456D">
        <w:rPr>
          <w:rFonts w:eastAsia="Times New Roman" w:cs="Times New Roman"/>
          <w:i/>
          <w:iCs/>
          <w:color w:val="000000" w:themeColor="text1"/>
          <w:szCs w:val="24"/>
          <w:lang w:eastAsia="es-ES"/>
        </w:rPr>
        <w:t>es el conjunto de actividades ordenadas a la distribución de gas combustible, por tubería u otro medio, desde un sitio de acopio de grandes volúmenes o desde un gasoducto central hasta la instalación de un consumidor final, incluyendo su conexión y medición. También se aplicará esta ley a las actividades complementarias de comercialización desde la producción y transporte de gas por un gasoducto principal, o por otros medios, desde el sitio de generación hasta aquel en donde se conecte a una red secundaria”</w:t>
      </w:r>
      <w:r w:rsidRPr="006A456D">
        <w:rPr>
          <w:rFonts w:eastAsia="Times New Roman" w:cs="Times New Roman"/>
          <w:iCs/>
          <w:color w:val="000000" w:themeColor="text1"/>
          <w:szCs w:val="24"/>
          <w:lang w:eastAsia="es-ES"/>
        </w:rPr>
        <w:t>.</w:t>
      </w:r>
    </w:p>
    <w:p w14:paraId="3536CDFA" w14:textId="77777777" w:rsidR="006A456D" w:rsidRPr="006A456D" w:rsidRDefault="006A456D" w:rsidP="006A456D">
      <w:pPr>
        <w:widowControl w:val="0"/>
        <w:spacing w:after="0"/>
        <w:jc w:val="both"/>
        <w:rPr>
          <w:rFonts w:eastAsia="Times New Roman" w:cs="Times New Roman"/>
          <w:color w:val="000000" w:themeColor="text1"/>
          <w:szCs w:val="24"/>
          <w:lang w:eastAsia="es-ES"/>
        </w:rPr>
      </w:pPr>
    </w:p>
    <w:p w14:paraId="1288CE4F" w14:textId="77777777" w:rsidR="006A456D" w:rsidRPr="006A456D" w:rsidRDefault="006A456D" w:rsidP="006A456D">
      <w:pPr>
        <w:widowControl w:val="0"/>
        <w:spacing w:after="0"/>
        <w:jc w:val="both"/>
        <w:rPr>
          <w:rFonts w:eastAsia="Times New Roman" w:cs="Times New Roman"/>
          <w:color w:val="000000" w:themeColor="text1"/>
          <w:szCs w:val="24"/>
          <w:lang w:eastAsia="es-ES"/>
        </w:rPr>
      </w:pPr>
      <w:r w:rsidRPr="006A456D">
        <w:rPr>
          <w:rFonts w:eastAsia="Times New Roman" w:cs="Times New Roman"/>
          <w:color w:val="000000" w:themeColor="text1"/>
          <w:szCs w:val="24"/>
          <w:lang w:eastAsia="es-ES"/>
        </w:rPr>
        <w:t>Según lo dispuesto por el artículo 28 de la Ley 142 de 1994, la construcción y operación de redes para el transporte de gas, así como el señalamiento de las tarifas por su uso, se regirán exclusivamente por dicha Ley.</w:t>
      </w:r>
    </w:p>
    <w:p w14:paraId="255F620D" w14:textId="77777777" w:rsidR="006A456D" w:rsidRPr="006A456D" w:rsidRDefault="006A456D" w:rsidP="006A456D">
      <w:pPr>
        <w:widowControl w:val="0"/>
        <w:spacing w:after="0"/>
        <w:jc w:val="both"/>
        <w:rPr>
          <w:rFonts w:eastAsia="Times New Roman" w:cs="Times New Roman"/>
          <w:color w:val="000000" w:themeColor="text1"/>
          <w:szCs w:val="24"/>
          <w:lang w:eastAsia="es-ES"/>
        </w:rPr>
      </w:pPr>
    </w:p>
    <w:p w14:paraId="57414CC9" w14:textId="77777777" w:rsidR="006A456D" w:rsidRPr="006A456D" w:rsidRDefault="006A456D" w:rsidP="006A456D">
      <w:pPr>
        <w:widowControl w:val="0"/>
        <w:spacing w:after="0"/>
        <w:jc w:val="both"/>
        <w:rPr>
          <w:rFonts w:eastAsia="Times New Roman" w:cs="Times New Roman"/>
          <w:color w:val="000000" w:themeColor="text1"/>
          <w:szCs w:val="24"/>
          <w:lang w:eastAsia="es-ES"/>
        </w:rPr>
      </w:pPr>
      <w:r w:rsidRPr="006A456D">
        <w:rPr>
          <w:rFonts w:eastAsia="Times New Roman" w:cs="Times New Roman"/>
          <w:color w:val="000000" w:themeColor="text1"/>
          <w:szCs w:val="24"/>
          <w:lang w:eastAsia="es-ES"/>
        </w:rPr>
        <w:t>El artículo 73.11 de la Ley 142 de 1994 atribuyó a la Comisión de Regulación de Energía y Gas, CREG, la competencia para establecer las fórmulas para la fijación de las tarifas del servicio público domiciliario de gas combustible.</w:t>
      </w:r>
    </w:p>
    <w:p w14:paraId="7F2BA078" w14:textId="77777777" w:rsidR="006A456D" w:rsidRPr="006A456D" w:rsidRDefault="006A456D" w:rsidP="006A456D">
      <w:pPr>
        <w:widowControl w:val="0"/>
        <w:spacing w:after="0"/>
        <w:jc w:val="both"/>
        <w:rPr>
          <w:rFonts w:eastAsia="Times New Roman" w:cs="Times New Roman"/>
          <w:color w:val="000000" w:themeColor="text1"/>
          <w:szCs w:val="24"/>
          <w:lang w:eastAsia="es-ES"/>
        </w:rPr>
      </w:pPr>
    </w:p>
    <w:p w14:paraId="47B8198C" w14:textId="6C116B63" w:rsidR="006A456D" w:rsidRP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r w:rsidRPr="006A456D">
        <w:rPr>
          <w:rFonts w:eastAsia="Times New Roman" w:cs="Arial"/>
          <w:color w:val="000000" w:themeColor="text1"/>
          <w:spacing w:val="-3"/>
          <w:szCs w:val="24"/>
          <w:lang w:val="es-ES" w:eastAsia="es-ES"/>
        </w:rPr>
        <w:t xml:space="preserve">El artículo 109 de la Ley 142 de 1994, en relación con las facultades con las que cuenta la Comisión dentro del ejercicio de las actuaciones administrativas que se adelanten en materia regulatoria, ha previsto </w:t>
      </w:r>
      <w:bookmarkStart w:id="2" w:name="109"/>
      <w:bookmarkEnd w:id="2"/>
      <w:r w:rsidRPr="006A456D">
        <w:rPr>
          <w:rFonts w:eastAsia="Times New Roman" w:cs="Arial"/>
          <w:color w:val="000000" w:themeColor="text1"/>
          <w:spacing w:val="-3"/>
          <w:szCs w:val="24"/>
          <w:lang w:val="es-ES" w:eastAsia="es-ES"/>
        </w:rPr>
        <w:t>que</w:t>
      </w:r>
      <w:r w:rsidR="00ED53AE">
        <w:rPr>
          <w:rFonts w:eastAsia="Times New Roman" w:cs="Arial"/>
          <w:color w:val="000000" w:themeColor="text1"/>
          <w:spacing w:val="-3"/>
          <w:szCs w:val="24"/>
          <w:lang w:val="es-ES" w:eastAsia="es-ES"/>
        </w:rPr>
        <w:t>,</w:t>
      </w:r>
      <w:r w:rsidRPr="006A456D">
        <w:rPr>
          <w:rFonts w:eastAsia="Times New Roman" w:cs="Arial"/>
          <w:color w:val="000000" w:themeColor="text1"/>
          <w:spacing w:val="-3"/>
          <w:szCs w:val="24"/>
          <w:lang w:val="es-ES" w:eastAsia="es-ES"/>
        </w:rPr>
        <w:t xml:space="preserve"> al practicar pruebas</w:t>
      </w:r>
      <w:r w:rsidR="00ED53AE">
        <w:rPr>
          <w:rFonts w:eastAsia="Times New Roman" w:cs="Arial"/>
          <w:color w:val="000000" w:themeColor="text1"/>
          <w:spacing w:val="-3"/>
          <w:szCs w:val="24"/>
          <w:lang w:val="es-ES" w:eastAsia="es-ES"/>
        </w:rPr>
        <w:t>,</w:t>
      </w:r>
      <w:r w:rsidRPr="006A456D">
        <w:rPr>
          <w:rFonts w:eastAsia="Times New Roman" w:cs="Arial"/>
          <w:color w:val="000000" w:themeColor="text1"/>
          <w:spacing w:val="-3"/>
          <w:szCs w:val="24"/>
          <w:lang w:val="es-ES" w:eastAsia="es-ES"/>
        </w:rPr>
        <w:t xml:space="preserve"> las funciones que corresponderían al juez en un proceso civil las cumplirá la autoridad, o la persona que acuerden la autoridad y el interesado.</w:t>
      </w:r>
    </w:p>
    <w:p w14:paraId="7CB8F6BC" w14:textId="77777777" w:rsidR="006A456D" w:rsidRDefault="006A456D" w:rsidP="00B5387B">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ind w:left="144" w:hanging="144"/>
        <w:jc w:val="both"/>
        <w:rPr>
          <w:rFonts w:eastAsia="Times New Roman" w:cs="Arial"/>
          <w:color w:val="000000" w:themeColor="text1"/>
          <w:spacing w:val="-3"/>
          <w:szCs w:val="24"/>
          <w:lang w:val="es-ES" w:eastAsia="es-ES"/>
        </w:rPr>
      </w:pPr>
    </w:p>
    <w:p w14:paraId="7FB7657C" w14:textId="5217DD26" w:rsidR="00622A83" w:rsidRP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r w:rsidRPr="006A456D">
        <w:rPr>
          <w:rFonts w:eastAsia="Times New Roman" w:cs="Arial"/>
          <w:color w:val="000000" w:themeColor="text1"/>
          <w:spacing w:val="-3"/>
          <w:szCs w:val="24"/>
          <w:lang w:val="es-ES" w:eastAsia="es-ES"/>
        </w:rPr>
        <w:lastRenderedPageBreak/>
        <w:t>Mediante la Resolución CREG 126 de 2010</w:t>
      </w:r>
      <w:r w:rsidR="006924EC">
        <w:rPr>
          <w:rFonts w:eastAsia="Times New Roman" w:cs="Arial"/>
          <w:color w:val="000000" w:themeColor="text1"/>
          <w:spacing w:val="-3"/>
          <w:szCs w:val="24"/>
          <w:lang w:val="es-ES" w:eastAsia="es-ES"/>
        </w:rPr>
        <w:t xml:space="preserve"> (derogada por la Resolución CREG 175 de 2021</w:t>
      </w:r>
      <w:r w:rsidR="00F01ACA">
        <w:rPr>
          <w:rFonts w:eastAsia="Times New Roman" w:cs="Arial"/>
          <w:color w:val="000000" w:themeColor="text1"/>
          <w:spacing w:val="-3"/>
          <w:szCs w:val="24"/>
          <w:lang w:val="es-ES" w:eastAsia="es-ES"/>
        </w:rPr>
        <w:t>)</w:t>
      </w:r>
      <w:r w:rsidRPr="006A456D">
        <w:rPr>
          <w:rFonts w:eastAsia="Times New Roman" w:cs="Arial"/>
          <w:color w:val="000000" w:themeColor="text1"/>
          <w:spacing w:val="-3"/>
          <w:szCs w:val="24"/>
          <w:lang w:val="es-ES" w:eastAsia="es-ES"/>
        </w:rPr>
        <w:t xml:space="preserve"> se estableció la metodología general para determinar los cargos que deben aplicar las empresas que realizan la actividad de transporte de gas natural a través del </w:t>
      </w:r>
      <w:r w:rsidR="00ED53AE">
        <w:rPr>
          <w:rFonts w:eastAsia="Times New Roman" w:cs="Arial"/>
          <w:color w:val="000000" w:themeColor="text1"/>
          <w:spacing w:val="-3"/>
          <w:szCs w:val="24"/>
          <w:lang w:val="es-ES" w:eastAsia="es-ES"/>
        </w:rPr>
        <w:t>S</w:t>
      </w:r>
      <w:r w:rsidR="00ED53AE" w:rsidRPr="006A456D">
        <w:rPr>
          <w:rFonts w:eastAsia="Times New Roman" w:cs="Arial"/>
          <w:color w:val="000000" w:themeColor="text1"/>
          <w:spacing w:val="-3"/>
          <w:szCs w:val="24"/>
          <w:lang w:val="es-ES" w:eastAsia="es-ES"/>
        </w:rPr>
        <w:t xml:space="preserve">istema </w:t>
      </w:r>
      <w:r w:rsidR="00ED53AE">
        <w:rPr>
          <w:rFonts w:eastAsia="Times New Roman" w:cs="Arial"/>
          <w:color w:val="000000" w:themeColor="text1"/>
          <w:spacing w:val="-3"/>
          <w:szCs w:val="24"/>
          <w:lang w:val="es-ES" w:eastAsia="es-ES"/>
        </w:rPr>
        <w:t>N</w:t>
      </w:r>
      <w:r w:rsidR="00ED53AE" w:rsidRPr="006A456D">
        <w:rPr>
          <w:rFonts w:eastAsia="Times New Roman" w:cs="Arial"/>
          <w:color w:val="000000" w:themeColor="text1"/>
          <w:spacing w:val="-3"/>
          <w:szCs w:val="24"/>
          <w:lang w:val="es-ES" w:eastAsia="es-ES"/>
        </w:rPr>
        <w:t xml:space="preserve">acional </w:t>
      </w:r>
      <w:r w:rsidRPr="006A456D">
        <w:rPr>
          <w:rFonts w:eastAsia="Times New Roman" w:cs="Arial"/>
          <w:color w:val="000000" w:themeColor="text1"/>
          <w:spacing w:val="-3"/>
          <w:szCs w:val="24"/>
          <w:lang w:val="es-ES" w:eastAsia="es-ES"/>
        </w:rPr>
        <w:t xml:space="preserve">de </w:t>
      </w:r>
      <w:r w:rsidR="00ED53AE">
        <w:rPr>
          <w:rFonts w:eastAsia="Times New Roman" w:cs="Arial"/>
          <w:color w:val="000000" w:themeColor="text1"/>
          <w:spacing w:val="-3"/>
          <w:szCs w:val="24"/>
          <w:lang w:val="es-ES" w:eastAsia="es-ES"/>
        </w:rPr>
        <w:t>T</w:t>
      </w:r>
      <w:r w:rsidR="00ED53AE" w:rsidRPr="006A456D">
        <w:rPr>
          <w:rFonts w:eastAsia="Times New Roman" w:cs="Arial"/>
          <w:color w:val="000000" w:themeColor="text1"/>
          <w:spacing w:val="-3"/>
          <w:szCs w:val="24"/>
          <w:lang w:val="es-ES" w:eastAsia="es-ES"/>
        </w:rPr>
        <w:t>ransporte</w:t>
      </w:r>
      <w:r w:rsidR="003B6EBD">
        <w:rPr>
          <w:rFonts w:eastAsia="Times New Roman" w:cs="Arial"/>
          <w:color w:val="000000" w:themeColor="text1"/>
          <w:spacing w:val="-3"/>
          <w:szCs w:val="24"/>
          <w:lang w:val="es-ES" w:eastAsia="es-ES"/>
        </w:rPr>
        <w:t>, describiendo en su artículo</w:t>
      </w:r>
      <w:r w:rsidR="00E06EE6">
        <w:rPr>
          <w:rFonts w:eastAsia="Times New Roman" w:cs="Arial"/>
          <w:color w:val="000000" w:themeColor="text1"/>
          <w:spacing w:val="-3"/>
          <w:szCs w:val="24"/>
          <w:lang w:val="es-ES" w:eastAsia="es-ES"/>
        </w:rPr>
        <w:t xml:space="preserve"> </w:t>
      </w:r>
      <w:r w:rsidR="00622A83">
        <w:rPr>
          <w:rFonts w:eastAsia="Times New Roman" w:cs="Arial"/>
          <w:color w:val="000000" w:themeColor="text1"/>
          <w:spacing w:val="-3"/>
          <w:szCs w:val="24"/>
          <w:lang w:val="es-ES" w:eastAsia="es-ES"/>
        </w:rPr>
        <w:t>14</w:t>
      </w:r>
      <w:r w:rsidR="004C316F">
        <w:rPr>
          <w:rFonts w:eastAsia="Times New Roman" w:cs="Arial"/>
          <w:color w:val="000000" w:themeColor="text1"/>
          <w:spacing w:val="-3"/>
          <w:szCs w:val="24"/>
          <w:lang w:val="es-ES" w:eastAsia="es-ES"/>
        </w:rPr>
        <w:t xml:space="preserve"> el procedimiento a seguir sobre la</w:t>
      </w:r>
      <w:r w:rsidR="004C316F" w:rsidRPr="004C316F">
        <w:rPr>
          <w:rFonts w:eastAsia="Times New Roman" w:cs="Arial"/>
          <w:color w:val="000000" w:themeColor="text1"/>
          <w:spacing w:val="-3"/>
          <w:szCs w:val="24"/>
          <w:lang w:val="es-ES" w:eastAsia="es-ES"/>
        </w:rPr>
        <w:t xml:space="preserve"> </w:t>
      </w:r>
      <w:r w:rsidR="004C316F">
        <w:rPr>
          <w:rFonts w:eastAsia="Times New Roman" w:cs="Arial"/>
          <w:color w:val="000000" w:themeColor="text1"/>
          <w:spacing w:val="-3"/>
          <w:szCs w:val="24"/>
          <w:lang w:val="es-ES" w:eastAsia="es-ES"/>
        </w:rPr>
        <w:t>i</w:t>
      </w:r>
      <w:r w:rsidR="004C316F" w:rsidRPr="004C316F">
        <w:rPr>
          <w:rFonts w:eastAsia="Times New Roman" w:cs="Arial"/>
          <w:color w:val="000000" w:themeColor="text1"/>
          <w:spacing w:val="-3"/>
          <w:szCs w:val="24"/>
          <w:lang w:val="es-ES" w:eastAsia="es-ES"/>
        </w:rPr>
        <w:t>nversión a reconocer en activos que hayan cumplido la Vida Útil Normativa.</w:t>
      </w:r>
    </w:p>
    <w:p w14:paraId="3284810A" w14:textId="77777777" w:rsidR="006A456D" w:rsidRPr="006A456D" w:rsidRDefault="006A456D" w:rsidP="006A456D">
      <w:pPr>
        <w:tabs>
          <w:tab w:val="left" w:pos="0"/>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after="0"/>
        <w:jc w:val="both"/>
        <w:rPr>
          <w:rFonts w:eastAsia="Times New Roman" w:cs="Arial"/>
          <w:color w:val="000000" w:themeColor="text1"/>
          <w:spacing w:val="-3"/>
          <w:szCs w:val="24"/>
          <w:lang w:val="es-ES" w:eastAsia="es-ES"/>
        </w:rPr>
      </w:pPr>
    </w:p>
    <w:p w14:paraId="545E0E9E" w14:textId="788BE354" w:rsidR="00F45C57" w:rsidRDefault="009A3DA9" w:rsidP="009A3DA9">
      <w:pPr>
        <w:spacing w:after="0"/>
        <w:jc w:val="both"/>
        <w:rPr>
          <w:rFonts w:eastAsia="Times New Roman" w:cs="Arial"/>
          <w:color w:val="000000" w:themeColor="text1"/>
          <w:spacing w:val="-3"/>
          <w:szCs w:val="24"/>
          <w:lang w:val="es-ES" w:eastAsia="es-ES"/>
        </w:rPr>
      </w:pPr>
      <w:r w:rsidRPr="009A3DA9">
        <w:rPr>
          <w:rFonts w:eastAsia="Times New Roman" w:cs="Arial"/>
          <w:color w:val="000000" w:themeColor="text1"/>
          <w:spacing w:val="-3"/>
          <w:szCs w:val="24"/>
          <w:lang w:val="es-ES" w:eastAsia="es-ES"/>
        </w:rPr>
        <w:t xml:space="preserve">Mediante la Resolución CREG </w:t>
      </w:r>
      <w:r w:rsidR="007F6F89">
        <w:rPr>
          <w:rFonts w:eastAsia="Times New Roman" w:cs="Arial"/>
          <w:color w:val="000000" w:themeColor="text1"/>
          <w:spacing w:val="-3"/>
          <w:szCs w:val="24"/>
          <w:lang w:val="es-ES" w:eastAsia="es-ES"/>
        </w:rPr>
        <w:t>110</w:t>
      </w:r>
      <w:r w:rsidRPr="009A3DA9">
        <w:rPr>
          <w:rFonts w:eastAsia="Times New Roman" w:cs="Arial"/>
          <w:color w:val="000000" w:themeColor="text1"/>
          <w:spacing w:val="-3"/>
          <w:szCs w:val="24"/>
          <w:lang w:val="es-ES" w:eastAsia="es-ES"/>
        </w:rPr>
        <w:t xml:space="preserve"> de 2011 se establecieron los cargos regulados para el sistema de transporte de </w:t>
      </w:r>
      <w:r w:rsidR="00037492" w:rsidRPr="00037492">
        <w:rPr>
          <w:rFonts w:eastAsia="Times New Roman" w:cs="Arial"/>
          <w:color w:val="000000" w:themeColor="text1"/>
          <w:spacing w:val="-3"/>
          <w:szCs w:val="24"/>
          <w:lang w:val="es-ES" w:eastAsia="es-ES"/>
        </w:rPr>
        <w:t>Transportadora de Gas Internacional S.A. E</w:t>
      </w:r>
      <w:r w:rsidR="00D7781B">
        <w:rPr>
          <w:rFonts w:eastAsia="Times New Roman" w:cs="Arial"/>
          <w:color w:val="000000" w:themeColor="text1"/>
          <w:spacing w:val="-3"/>
          <w:szCs w:val="24"/>
          <w:lang w:val="es-ES" w:eastAsia="es-ES"/>
        </w:rPr>
        <w:t>.</w:t>
      </w:r>
      <w:r w:rsidR="00037492" w:rsidRPr="00037492">
        <w:rPr>
          <w:rFonts w:eastAsia="Times New Roman" w:cs="Arial"/>
          <w:color w:val="000000" w:themeColor="text1"/>
          <w:spacing w:val="-3"/>
          <w:szCs w:val="24"/>
          <w:lang w:val="es-ES" w:eastAsia="es-ES"/>
        </w:rPr>
        <w:t>S</w:t>
      </w:r>
      <w:r w:rsidR="00D7781B">
        <w:rPr>
          <w:rFonts w:eastAsia="Times New Roman" w:cs="Arial"/>
          <w:color w:val="000000" w:themeColor="text1"/>
          <w:spacing w:val="-3"/>
          <w:szCs w:val="24"/>
          <w:lang w:val="es-ES" w:eastAsia="es-ES"/>
        </w:rPr>
        <w:t>.</w:t>
      </w:r>
      <w:r w:rsidR="00037492" w:rsidRPr="00037492">
        <w:rPr>
          <w:rFonts w:eastAsia="Times New Roman" w:cs="Arial"/>
          <w:color w:val="000000" w:themeColor="text1"/>
          <w:spacing w:val="-3"/>
          <w:szCs w:val="24"/>
          <w:lang w:val="es-ES" w:eastAsia="es-ES"/>
        </w:rPr>
        <w:t>P.</w:t>
      </w:r>
      <w:r w:rsidR="00153F7B">
        <w:rPr>
          <w:rFonts w:eastAsia="Times New Roman" w:cs="Arial"/>
          <w:color w:val="000000" w:themeColor="text1"/>
          <w:spacing w:val="-3"/>
          <w:szCs w:val="24"/>
          <w:lang w:val="es-ES" w:eastAsia="es-ES"/>
        </w:rPr>
        <w:t xml:space="preserve"> (en adelante </w:t>
      </w:r>
      <w:r w:rsidR="00037492" w:rsidRPr="00037492">
        <w:rPr>
          <w:rFonts w:eastAsia="Times New Roman" w:cs="Arial"/>
          <w:color w:val="000000" w:themeColor="text1"/>
          <w:spacing w:val="-3"/>
          <w:szCs w:val="24"/>
          <w:lang w:val="es-ES" w:eastAsia="es-ES"/>
        </w:rPr>
        <w:t>TGI</w:t>
      </w:r>
      <w:r w:rsidR="00153F7B">
        <w:rPr>
          <w:rFonts w:eastAsia="Times New Roman" w:cs="Arial"/>
          <w:color w:val="000000" w:themeColor="text1"/>
          <w:spacing w:val="-3"/>
          <w:szCs w:val="24"/>
          <w:lang w:val="es-ES" w:eastAsia="es-ES"/>
        </w:rPr>
        <w:t>)</w:t>
      </w:r>
      <w:r w:rsidR="00B07561">
        <w:rPr>
          <w:rFonts w:eastAsia="Times New Roman" w:cs="Arial"/>
          <w:color w:val="000000" w:themeColor="text1"/>
          <w:spacing w:val="-3"/>
          <w:szCs w:val="24"/>
          <w:lang w:val="es-ES" w:eastAsia="es-ES"/>
        </w:rPr>
        <w:t>,</w:t>
      </w:r>
      <w:r w:rsidRPr="009A3DA9">
        <w:rPr>
          <w:rFonts w:eastAsia="Times New Roman" w:cs="Arial"/>
          <w:color w:val="000000" w:themeColor="text1"/>
          <w:spacing w:val="-3"/>
          <w:szCs w:val="24"/>
          <w:lang w:val="es-ES" w:eastAsia="es-ES"/>
        </w:rPr>
        <w:t xml:space="preserve"> de acuerdo con los criterios previstos en la Resolución CREG 126 de 2010.</w:t>
      </w:r>
    </w:p>
    <w:p w14:paraId="506D2309" w14:textId="77777777" w:rsidR="000804E1" w:rsidRDefault="000804E1" w:rsidP="009A3DA9">
      <w:pPr>
        <w:spacing w:after="0"/>
        <w:jc w:val="both"/>
        <w:rPr>
          <w:rFonts w:eastAsia="Times New Roman" w:cs="Arial"/>
          <w:color w:val="000000" w:themeColor="text1"/>
          <w:spacing w:val="-3"/>
          <w:szCs w:val="24"/>
          <w:lang w:val="es-ES" w:eastAsia="es-ES"/>
        </w:rPr>
      </w:pPr>
    </w:p>
    <w:p w14:paraId="3EBD0529" w14:textId="757B724E" w:rsidR="00A95092" w:rsidRDefault="00C445F5" w:rsidP="00AA3E60">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w:t>
      </w:r>
      <w:r w:rsidR="00556B5F">
        <w:rPr>
          <w:rFonts w:eastAsia="Times New Roman" w:cs="Arial"/>
          <w:color w:val="000000" w:themeColor="text1"/>
          <w:spacing w:val="-3"/>
          <w:szCs w:val="24"/>
          <w:lang w:val="es-ES" w:eastAsia="es-ES"/>
        </w:rPr>
        <w:t xml:space="preserve">ediante </w:t>
      </w:r>
      <w:r w:rsidR="000200BC">
        <w:rPr>
          <w:rFonts w:eastAsia="Times New Roman" w:cs="Arial"/>
          <w:color w:val="000000" w:themeColor="text1"/>
          <w:spacing w:val="-3"/>
          <w:szCs w:val="24"/>
          <w:lang w:val="es-ES" w:eastAsia="es-ES"/>
        </w:rPr>
        <w:t xml:space="preserve">la </w:t>
      </w:r>
      <w:r w:rsidR="00556B5F">
        <w:rPr>
          <w:rFonts w:eastAsia="Times New Roman" w:cs="Arial"/>
          <w:color w:val="000000" w:themeColor="text1"/>
          <w:spacing w:val="-3"/>
          <w:szCs w:val="24"/>
          <w:lang w:val="es-ES" w:eastAsia="es-ES"/>
        </w:rPr>
        <w:t>Resolución CREG 121 de 201</w:t>
      </w:r>
      <w:r w:rsidR="00437F52">
        <w:rPr>
          <w:rFonts w:eastAsia="Times New Roman" w:cs="Arial"/>
          <w:color w:val="000000" w:themeColor="text1"/>
          <w:spacing w:val="-3"/>
          <w:szCs w:val="24"/>
          <w:lang w:val="es-ES" w:eastAsia="es-ES"/>
        </w:rPr>
        <w:t>2</w:t>
      </w:r>
      <w:r w:rsidR="00F6705D">
        <w:rPr>
          <w:rFonts w:eastAsia="Times New Roman" w:cs="Arial"/>
          <w:color w:val="000000" w:themeColor="text1"/>
          <w:spacing w:val="-3"/>
          <w:szCs w:val="24"/>
          <w:lang w:val="es-ES" w:eastAsia="es-ES"/>
        </w:rPr>
        <w:t xml:space="preserve"> </w:t>
      </w:r>
      <w:r w:rsidR="00F6705D" w:rsidRPr="00F6705D">
        <w:rPr>
          <w:rFonts w:eastAsia="Times New Roman" w:cs="Arial"/>
          <w:color w:val="000000" w:themeColor="text1"/>
          <w:spacing w:val="-3"/>
          <w:szCs w:val="24"/>
          <w:lang w:val="es-ES" w:eastAsia="es-ES"/>
        </w:rPr>
        <w:t>se resuelven los recursos de rep</w:t>
      </w:r>
      <w:r w:rsidR="00C30E3F">
        <w:rPr>
          <w:rFonts w:eastAsia="Times New Roman" w:cs="Arial"/>
          <w:color w:val="000000" w:themeColor="text1"/>
          <w:spacing w:val="-3"/>
          <w:szCs w:val="24"/>
          <w:lang w:val="es-ES" w:eastAsia="es-ES"/>
        </w:rPr>
        <w:t>osición</w:t>
      </w:r>
      <w:r w:rsidR="00F6705D" w:rsidRPr="00F6705D">
        <w:rPr>
          <w:rFonts w:eastAsia="Times New Roman" w:cs="Arial"/>
          <w:color w:val="000000" w:themeColor="text1"/>
          <w:spacing w:val="-3"/>
          <w:szCs w:val="24"/>
          <w:lang w:val="es-ES" w:eastAsia="es-ES"/>
        </w:rPr>
        <w:t xml:space="preserve"> interpuestos contra la Resolución CREG 110 de 2011, por la cual se establecieron los cargos regulados para el sistema de transporte de TGI.</w:t>
      </w:r>
      <w:r w:rsidR="00AA3E60">
        <w:rPr>
          <w:rFonts w:eastAsia="Times New Roman" w:cs="Arial"/>
          <w:color w:val="000000" w:themeColor="text1"/>
          <w:spacing w:val="-3"/>
          <w:szCs w:val="24"/>
          <w:lang w:val="es-ES" w:eastAsia="es-ES"/>
        </w:rPr>
        <w:t xml:space="preserve"> Dentro de dicha actuación se aclaró que</w:t>
      </w:r>
      <w:r w:rsidR="00635FE1">
        <w:rPr>
          <w:rFonts w:eastAsia="Times New Roman" w:cs="Arial"/>
          <w:color w:val="000000" w:themeColor="text1"/>
          <w:spacing w:val="-3"/>
          <w:szCs w:val="24"/>
          <w:lang w:val="es-ES" w:eastAsia="es-ES"/>
        </w:rPr>
        <w:t>:</w:t>
      </w:r>
      <w:r w:rsidR="00AA3E60">
        <w:rPr>
          <w:rFonts w:eastAsia="Times New Roman" w:cs="Arial"/>
          <w:color w:val="000000" w:themeColor="text1"/>
          <w:spacing w:val="-3"/>
          <w:szCs w:val="24"/>
          <w:lang w:val="es-ES" w:eastAsia="es-ES"/>
        </w:rPr>
        <w:t xml:space="preserve"> </w:t>
      </w:r>
    </w:p>
    <w:p w14:paraId="49763827" w14:textId="77777777" w:rsidR="00A95092" w:rsidRDefault="00A95092" w:rsidP="00AA3E60">
      <w:pPr>
        <w:spacing w:after="0"/>
        <w:jc w:val="both"/>
        <w:rPr>
          <w:rFonts w:eastAsia="Times New Roman" w:cs="Arial"/>
          <w:color w:val="000000" w:themeColor="text1"/>
          <w:spacing w:val="-3"/>
          <w:szCs w:val="24"/>
          <w:lang w:val="es-ES" w:eastAsia="es-ES"/>
        </w:rPr>
      </w:pPr>
    </w:p>
    <w:p w14:paraId="06851CF4" w14:textId="747BB907" w:rsidR="00F45C57" w:rsidRDefault="00AA3E60" w:rsidP="00785CB2">
      <w:pPr>
        <w:pStyle w:val="Cita"/>
        <w:ind w:right="284"/>
        <w:rPr>
          <w:szCs w:val="24"/>
          <w:lang w:val="es-ES" w:eastAsia="es-ES"/>
        </w:rPr>
      </w:pPr>
      <w:r w:rsidRPr="002438F8">
        <w:rPr>
          <w:lang w:val="es-ES" w:eastAsia="es-ES"/>
        </w:rPr>
        <w:t>“Se considera que los proyectos denominados 'Actualización tecnológica en sistemas de medición' y 'Compra de equipos nuevos de medición', excepto el proyecto sobre el remplazo del analizador de humedad en Ballena, hacen parte de las ampliaciones y actualizaciones de que trata el segundo párrafo del artículo 34 de la metodología. En tal sentido, es pertinente incluir en la base de activos los valores correspondientes a estos proyectos.”</w:t>
      </w:r>
    </w:p>
    <w:p w14:paraId="6DE4577A" w14:textId="77777777" w:rsidR="00E754AC" w:rsidRDefault="00E754AC" w:rsidP="009A3DA9">
      <w:pPr>
        <w:spacing w:after="0"/>
        <w:jc w:val="both"/>
        <w:rPr>
          <w:rFonts w:eastAsia="Times New Roman" w:cs="Arial"/>
          <w:color w:val="000000" w:themeColor="text1"/>
          <w:spacing w:val="-3"/>
          <w:szCs w:val="24"/>
          <w:lang w:val="es-ES" w:eastAsia="es-ES"/>
        </w:rPr>
      </w:pPr>
    </w:p>
    <w:p w14:paraId="49FE03D6" w14:textId="764C9076" w:rsidR="004F65B9" w:rsidRDefault="004F65B9"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Mediante </w:t>
      </w:r>
      <w:r w:rsidR="000200BC">
        <w:rPr>
          <w:rFonts w:eastAsia="Times New Roman" w:cs="Arial"/>
          <w:color w:val="000000" w:themeColor="text1"/>
          <w:spacing w:val="-3"/>
          <w:szCs w:val="24"/>
          <w:lang w:val="es-ES" w:eastAsia="es-ES"/>
        </w:rPr>
        <w:t xml:space="preserve">la </w:t>
      </w:r>
      <w:r w:rsidR="00DE4266">
        <w:rPr>
          <w:rFonts w:eastAsia="Times New Roman" w:cs="Arial"/>
          <w:color w:val="000000" w:themeColor="text1"/>
          <w:spacing w:val="-3"/>
          <w:szCs w:val="24"/>
          <w:lang w:val="es-ES" w:eastAsia="es-ES"/>
        </w:rPr>
        <w:t>Resolución</w:t>
      </w:r>
      <w:r>
        <w:rPr>
          <w:rFonts w:eastAsia="Times New Roman" w:cs="Arial"/>
          <w:color w:val="000000" w:themeColor="text1"/>
          <w:spacing w:val="-3"/>
          <w:szCs w:val="24"/>
          <w:lang w:val="es-ES" w:eastAsia="es-ES"/>
        </w:rPr>
        <w:t xml:space="preserve"> CRE</w:t>
      </w:r>
      <w:r w:rsidR="00DE4266">
        <w:rPr>
          <w:rFonts w:eastAsia="Times New Roman" w:cs="Arial"/>
          <w:color w:val="000000" w:themeColor="text1"/>
          <w:spacing w:val="-3"/>
          <w:szCs w:val="24"/>
          <w:lang w:val="es-ES" w:eastAsia="es-ES"/>
        </w:rPr>
        <w:t>G 162 de 2015</w:t>
      </w:r>
      <w:r w:rsidR="003B1A76">
        <w:rPr>
          <w:rFonts w:eastAsia="Times New Roman" w:cs="Arial"/>
          <w:color w:val="000000" w:themeColor="text1"/>
          <w:spacing w:val="-3"/>
          <w:szCs w:val="24"/>
          <w:lang w:val="es-ES" w:eastAsia="es-ES"/>
        </w:rPr>
        <w:t>,</w:t>
      </w:r>
      <w:r w:rsidR="00DE4266">
        <w:rPr>
          <w:rFonts w:eastAsia="Times New Roman" w:cs="Arial"/>
          <w:color w:val="000000" w:themeColor="text1"/>
          <w:spacing w:val="-3"/>
          <w:szCs w:val="24"/>
          <w:lang w:val="es-ES" w:eastAsia="es-ES"/>
        </w:rPr>
        <w:t xml:space="preserve"> </w:t>
      </w:r>
      <w:r w:rsidR="00100CA9">
        <w:rPr>
          <w:rFonts w:eastAsia="Times New Roman" w:cs="Arial"/>
          <w:color w:val="000000" w:themeColor="text1"/>
          <w:spacing w:val="-3"/>
          <w:szCs w:val="24"/>
          <w:lang w:val="es-ES" w:eastAsia="es-ES"/>
        </w:rPr>
        <w:t>en el artículo 5</w:t>
      </w:r>
      <w:r w:rsidR="000200BC">
        <w:rPr>
          <w:rFonts w:eastAsia="Times New Roman" w:cs="Arial"/>
          <w:color w:val="000000" w:themeColor="text1"/>
          <w:spacing w:val="-3"/>
          <w:szCs w:val="24"/>
          <w:lang w:val="es-ES" w:eastAsia="es-ES"/>
        </w:rPr>
        <w:t>,</w:t>
      </w:r>
      <w:r w:rsidR="00100CA9">
        <w:rPr>
          <w:rFonts w:eastAsia="Times New Roman" w:cs="Arial"/>
          <w:color w:val="000000" w:themeColor="text1"/>
          <w:spacing w:val="-3"/>
          <w:szCs w:val="24"/>
          <w:lang w:val="es-ES" w:eastAsia="es-ES"/>
        </w:rPr>
        <w:t xml:space="preserve"> </w:t>
      </w:r>
      <w:r w:rsidR="00DE4266">
        <w:rPr>
          <w:rFonts w:eastAsia="Times New Roman" w:cs="Arial"/>
          <w:color w:val="000000" w:themeColor="text1"/>
          <w:spacing w:val="-3"/>
          <w:szCs w:val="24"/>
          <w:lang w:val="es-ES" w:eastAsia="es-ES"/>
        </w:rPr>
        <w:t>se aprobaron los siguientes valores VAO y VRAN</w:t>
      </w:r>
      <w:r w:rsidR="00FF3511">
        <w:rPr>
          <w:rFonts w:eastAsia="Times New Roman" w:cs="Arial"/>
          <w:color w:val="000000" w:themeColor="text1"/>
          <w:spacing w:val="-3"/>
          <w:szCs w:val="24"/>
          <w:lang w:val="es-ES" w:eastAsia="es-ES"/>
        </w:rPr>
        <w:t xml:space="preserve"> para los activos</w:t>
      </w:r>
      <w:r w:rsidR="008F15CE">
        <w:rPr>
          <w:rFonts w:eastAsia="Times New Roman" w:cs="Arial"/>
          <w:color w:val="000000" w:themeColor="text1"/>
          <w:spacing w:val="-3"/>
          <w:szCs w:val="24"/>
          <w:lang w:val="es-ES" w:eastAsia="es-ES"/>
        </w:rPr>
        <w:t xml:space="preserve"> que hacen parte</w:t>
      </w:r>
      <w:r w:rsidR="00FF3511">
        <w:rPr>
          <w:rFonts w:eastAsia="Times New Roman" w:cs="Arial"/>
          <w:color w:val="000000" w:themeColor="text1"/>
          <w:spacing w:val="-3"/>
          <w:szCs w:val="24"/>
          <w:lang w:val="es-ES" w:eastAsia="es-ES"/>
        </w:rPr>
        <w:t xml:space="preserve"> del sistema de TGI:</w:t>
      </w:r>
    </w:p>
    <w:p w14:paraId="5D45577D" w14:textId="77777777" w:rsidR="00704AEC" w:rsidRDefault="00704AEC" w:rsidP="009A3DA9">
      <w:pPr>
        <w:spacing w:after="0"/>
        <w:jc w:val="both"/>
        <w:rPr>
          <w:rFonts w:eastAsia="Times New Roman" w:cs="Arial"/>
          <w:color w:val="000000" w:themeColor="text1"/>
          <w:spacing w:val="-3"/>
          <w:szCs w:val="24"/>
          <w:lang w:val="es-ES" w:eastAsia="es-ES"/>
        </w:rPr>
      </w:pPr>
    </w:p>
    <w:p w14:paraId="21304983" w14:textId="58961932" w:rsidR="00DE4266" w:rsidRPr="00DE4266" w:rsidRDefault="00FF3511" w:rsidP="00785CB2">
      <w:pPr>
        <w:pStyle w:val="Cita"/>
        <w:ind w:right="284"/>
      </w:pPr>
      <w:r>
        <w:t>“</w:t>
      </w:r>
      <w:r w:rsidR="00DE4266" w:rsidRPr="00DE4266">
        <w:t xml:space="preserve">Artículo 5. Costo de reposición a nuevo, VRAN, y valor a reconocer para los activos de TGI S.A. E.S.P. que se mantengan en operación, </w:t>
      </w:r>
      <w:proofErr w:type="spellStart"/>
      <w:r w:rsidR="00DE4266" w:rsidRPr="00DE4266">
        <w:t>VAO</w:t>
      </w:r>
      <w:r w:rsidR="00DE4266" w:rsidRPr="00DE4266">
        <w:rPr>
          <w:vertAlign w:val="subscript"/>
        </w:rPr>
        <w:t>t</w:t>
      </w:r>
      <w:proofErr w:type="spellEnd"/>
      <w:r w:rsidR="00DE4266" w:rsidRPr="00DE4266">
        <w:t xml:space="preserve">. De conformidad con lo establecido en el artículo 14 de la Resolución CREG 126 de 2010 se aprueban los siguientes valores correspondientes al costo de reposición a nuevo, VRAN, de los activos de TGI S.A. E.S.P. que hacen parte de la presente actuación administrativa, y los valores a reconocer para aquellos activos que hacen parte de la presente actuación administrativa que se mantengan en operación, </w:t>
      </w:r>
      <w:proofErr w:type="spellStart"/>
      <w:r w:rsidR="00DE4266" w:rsidRPr="00DE4266">
        <w:t>VAOt</w:t>
      </w:r>
      <w:proofErr w:type="spellEnd"/>
      <w:r w:rsidR="00DE4266" w:rsidRPr="00DE4266">
        <w:t>:</w:t>
      </w:r>
    </w:p>
    <w:p w14:paraId="5480E800" w14:textId="77777777" w:rsidR="00DE4266" w:rsidRPr="00DE4266" w:rsidRDefault="00DE4266" w:rsidP="00675E77">
      <w:pPr>
        <w:pStyle w:val="Cita"/>
      </w:pPr>
    </w:p>
    <w:tbl>
      <w:tblPr>
        <w:tblW w:w="4649" w:type="pct"/>
        <w:tblInd w:w="421" w:type="dxa"/>
        <w:tblCellMar>
          <w:left w:w="70" w:type="dxa"/>
          <w:right w:w="70" w:type="dxa"/>
        </w:tblCellMar>
        <w:tblLook w:val="04A0" w:firstRow="1" w:lastRow="0" w:firstColumn="1" w:lastColumn="0" w:noHBand="0" w:noVBand="1"/>
      </w:tblPr>
      <w:tblGrid>
        <w:gridCol w:w="1180"/>
        <w:gridCol w:w="4125"/>
        <w:gridCol w:w="1836"/>
        <w:gridCol w:w="1549"/>
      </w:tblGrid>
      <w:tr w:rsidR="00704AEC" w:rsidRPr="00DE4266" w14:paraId="76D640E2" w14:textId="77777777" w:rsidTr="00675E77">
        <w:trPr>
          <w:trHeight w:val="398"/>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F2F2F2"/>
            <w:vAlign w:val="center"/>
          </w:tcPr>
          <w:p w14:paraId="705137CA" w14:textId="355342E3" w:rsidR="00DE4266" w:rsidRPr="00DE4266" w:rsidRDefault="00DE4266" w:rsidP="00704AEC">
            <w:pPr>
              <w:ind w:left="426"/>
              <w:jc w:val="center"/>
              <w:rPr>
                <w:rFonts w:ascii="Arial" w:hAnsi="Arial" w:cs="Arial"/>
                <w:b/>
                <w:bCs/>
                <w:color w:val="000000"/>
                <w:sz w:val="16"/>
                <w:szCs w:val="16"/>
                <w:lang w:eastAsia="es-CO"/>
              </w:rPr>
            </w:pPr>
            <w:r w:rsidRPr="001F5647">
              <w:rPr>
                <w:rFonts w:ascii="Arial" w:hAnsi="Arial" w:cs="Arial"/>
                <w:b/>
                <w:color w:val="000000"/>
                <w:sz w:val="16"/>
                <w:szCs w:val="16"/>
                <w:lang w:eastAsia="es-CO"/>
              </w:rPr>
              <w:t xml:space="preserve">Tabla </w:t>
            </w:r>
            <w:r w:rsidR="001F5647" w:rsidRPr="001F5647">
              <w:rPr>
                <w:rFonts w:ascii="Arial" w:hAnsi="Arial" w:cs="Arial"/>
                <w:b/>
                <w:bCs/>
                <w:color w:val="000000"/>
                <w:sz w:val="16"/>
                <w:szCs w:val="16"/>
                <w:lang w:eastAsia="es-CO"/>
              </w:rPr>
              <w:t>1</w:t>
            </w:r>
            <w:r w:rsidRPr="001F5647">
              <w:rPr>
                <w:rFonts w:ascii="Arial" w:hAnsi="Arial" w:cs="Arial"/>
                <w:b/>
                <w:color w:val="000000"/>
                <w:sz w:val="16"/>
                <w:szCs w:val="16"/>
                <w:lang w:eastAsia="es-CO"/>
              </w:rPr>
              <w:t xml:space="preserve"> Valor de reposición a </w:t>
            </w:r>
            <w:r w:rsidR="008776C2" w:rsidRPr="001F5647">
              <w:rPr>
                <w:rFonts w:ascii="Arial" w:hAnsi="Arial" w:cs="Arial"/>
                <w:b/>
                <w:color w:val="000000"/>
                <w:sz w:val="16"/>
                <w:szCs w:val="16"/>
                <w:lang w:eastAsia="es-CO"/>
              </w:rPr>
              <w:t>nuevo,</w:t>
            </w:r>
            <w:r w:rsidRPr="001F5647">
              <w:rPr>
                <w:rFonts w:ascii="Arial" w:hAnsi="Arial" w:cs="Arial"/>
                <w:b/>
                <w:color w:val="000000"/>
                <w:sz w:val="16"/>
                <w:szCs w:val="16"/>
                <w:lang w:eastAsia="es-CO"/>
              </w:rPr>
              <w:t xml:space="preserve"> y valor de reposición si se mantiene en operación el activo o mientras se hace la reposición, VAO</w:t>
            </w:r>
          </w:p>
        </w:tc>
      </w:tr>
      <w:tr w:rsidR="00704AEC" w:rsidRPr="00DE4266" w14:paraId="609E1B11" w14:textId="77777777" w:rsidTr="00675E77">
        <w:trPr>
          <w:trHeight w:val="253"/>
          <w:tblHeader/>
        </w:trPr>
        <w:tc>
          <w:tcPr>
            <w:tcW w:w="66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4840BBA"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w:t>
            </w:r>
          </w:p>
        </w:tc>
        <w:tc>
          <w:tcPr>
            <w:tcW w:w="2377" w:type="pct"/>
            <w:tcBorders>
              <w:top w:val="single" w:sz="4" w:space="0" w:color="auto"/>
              <w:left w:val="nil"/>
              <w:bottom w:val="single" w:sz="4" w:space="0" w:color="auto"/>
              <w:right w:val="single" w:sz="4" w:space="0" w:color="auto"/>
            </w:tcBorders>
            <w:shd w:val="clear" w:color="000000" w:fill="F2F2F2"/>
            <w:vAlign w:val="center"/>
            <w:hideMark/>
          </w:tcPr>
          <w:p w14:paraId="28C28828"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Descripción</w:t>
            </w:r>
          </w:p>
        </w:tc>
        <w:tc>
          <w:tcPr>
            <w:tcW w:w="1060" w:type="pct"/>
            <w:tcBorders>
              <w:top w:val="single" w:sz="4" w:space="0" w:color="auto"/>
              <w:left w:val="nil"/>
              <w:bottom w:val="single" w:sz="4" w:space="0" w:color="auto"/>
              <w:right w:val="single" w:sz="4" w:space="0" w:color="auto"/>
            </w:tcBorders>
            <w:shd w:val="clear" w:color="000000" w:fill="F2F2F2"/>
            <w:vAlign w:val="center"/>
            <w:hideMark/>
          </w:tcPr>
          <w:p w14:paraId="49EE391A" w14:textId="77777777" w:rsidR="00DE4266" w:rsidRPr="00DE4266" w:rsidRDefault="00DE4266" w:rsidP="00704AEC">
            <w:pPr>
              <w:ind w:left="426"/>
              <w:jc w:val="center"/>
              <w:rPr>
                <w:rFonts w:ascii="Arial" w:hAnsi="Arial" w:cs="Arial"/>
                <w:b/>
                <w:bCs/>
                <w:color w:val="000000"/>
                <w:sz w:val="16"/>
                <w:szCs w:val="16"/>
                <w:lang w:eastAsia="es-CO"/>
              </w:rPr>
            </w:pPr>
            <w:proofErr w:type="gramStart"/>
            <w:r w:rsidRPr="00DE4266">
              <w:rPr>
                <w:rFonts w:ascii="Arial" w:hAnsi="Arial" w:cs="Arial"/>
                <w:b/>
                <w:bCs/>
                <w:color w:val="000000"/>
                <w:sz w:val="16"/>
                <w:szCs w:val="16"/>
                <w:lang w:eastAsia="es-CO"/>
              </w:rPr>
              <w:t>Total</w:t>
            </w:r>
            <w:proofErr w:type="gramEnd"/>
            <w:r w:rsidRPr="00DE4266">
              <w:rPr>
                <w:rFonts w:ascii="Arial" w:hAnsi="Arial" w:cs="Arial"/>
                <w:b/>
                <w:bCs/>
                <w:color w:val="000000"/>
                <w:sz w:val="16"/>
                <w:szCs w:val="16"/>
                <w:lang w:eastAsia="es-CO"/>
              </w:rPr>
              <w:t xml:space="preserve"> VRAN</w:t>
            </w:r>
          </w:p>
        </w:tc>
        <w:tc>
          <w:tcPr>
            <w:tcW w:w="893" w:type="pct"/>
            <w:tcBorders>
              <w:top w:val="single" w:sz="4" w:space="0" w:color="auto"/>
              <w:left w:val="nil"/>
              <w:bottom w:val="single" w:sz="4" w:space="0" w:color="auto"/>
              <w:right w:val="single" w:sz="4" w:space="0" w:color="auto"/>
            </w:tcBorders>
            <w:shd w:val="clear" w:color="000000" w:fill="F2F2F2"/>
            <w:vAlign w:val="center"/>
            <w:hideMark/>
          </w:tcPr>
          <w:p w14:paraId="53117ABA" w14:textId="77777777" w:rsidR="00DE4266" w:rsidRPr="00DE4266" w:rsidRDefault="00DE4266" w:rsidP="00704AEC">
            <w:pPr>
              <w:ind w:left="426"/>
              <w:jc w:val="center"/>
              <w:rPr>
                <w:rFonts w:ascii="Arial" w:hAnsi="Arial" w:cs="Arial"/>
                <w:b/>
                <w:bCs/>
                <w:color w:val="000000"/>
                <w:sz w:val="16"/>
                <w:szCs w:val="16"/>
                <w:lang w:eastAsia="es-CO"/>
              </w:rPr>
            </w:pPr>
            <w:proofErr w:type="gramStart"/>
            <w:r w:rsidRPr="00DE4266">
              <w:rPr>
                <w:rFonts w:ascii="Arial" w:hAnsi="Arial" w:cs="Arial"/>
                <w:b/>
                <w:bCs/>
                <w:color w:val="000000"/>
                <w:sz w:val="16"/>
                <w:szCs w:val="16"/>
                <w:lang w:eastAsia="es-CO"/>
              </w:rPr>
              <w:t>Total</w:t>
            </w:r>
            <w:proofErr w:type="gramEnd"/>
            <w:r w:rsidRPr="00DE4266">
              <w:rPr>
                <w:rFonts w:ascii="Arial" w:hAnsi="Arial" w:cs="Arial"/>
                <w:b/>
                <w:bCs/>
                <w:color w:val="000000"/>
                <w:sz w:val="16"/>
                <w:szCs w:val="16"/>
                <w:lang w:eastAsia="es-CO"/>
              </w:rPr>
              <w:t xml:space="preserve"> </w:t>
            </w:r>
            <w:proofErr w:type="spellStart"/>
            <w:r w:rsidRPr="00DE4266">
              <w:rPr>
                <w:rFonts w:ascii="Arial" w:hAnsi="Arial" w:cs="Arial"/>
                <w:b/>
                <w:bCs/>
                <w:color w:val="000000"/>
                <w:sz w:val="16"/>
                <w:szCs w:val="16"/>
                <w:lang w:eastAsia="es-CO"/>
              </w:rPr>
              <w:t>VAOt</w:t>
            </w:r>
            <w:proofErr w:type="spellEnd"/>
          </w:p>
        </w:tc>
      </w:tr>
      <w:tr w:rsidR="00704AEC" w:rsidRPr="00DE4266" w14:paraId="65EB2087" w14:textId="77777777" w:rsidTr="00675E77">
        <w:trPr>
          <w:trHeight w:val="416"/>
        </w:trPr>
        <w:tc>
          <w:tcPr>
            <w:tcW w:w="66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2C8151CA" w14:textId="77777777" w:rsidR="00DE4266" w:rsidRPr="00DE4266" w:rsidRDefault="00DE4266" w:rsidP="00704AEC">
            <w:pPr>
              <w:ind w:left="426"/>
              <w:jc w:val="center"/>
              <w:rPr>
                <w:rFonts w:ascii="Arial" w:hAnsi="Arial" w:cs="Arial"/>
                <w:b/>
                <w:bCs/>
                <w:color w:val="000000"/>
                <w:sz w:val="16"/>
                <w:szCs w:val="16"/>
                <w:lang w:eastAsia="es-CO"/>
              </w:rPr>
            </w:pPr>
            <w:proofErr w:type="spellStart"/>
            <w:r w:rsidRPr="00DE4266">
              <w:rPr>
                <w:rFonts w:ascii="Arial" w:hAnsi="Arial" w:cs="Arial"/>
                <w:b/>
                <w:bCs/>
                <w:color w:val="000000"/>
                <w:sz w:val="16"/>
                <w:szCs w:val="16"/>
                <w:lang w:eastAsia="es-CO"/>
              </w:rPr>
              <w:t>Pipleines</w:t>
            </w:r>
            <w:proofErr w:type="spellEnd"/>
            <w:r w:rsidRPr="00DE4266">
              <w:rPr>
                <w:rFonts w:ascii="Arial" w:hAnsi="Arial" w:cs="Arial"/>
                <w:b/>
                <w:bCs/>
                <w:color w:val="000000"/>
                <w:sz w:val="16"/>
                <w:szCs w:val="16"/>
                <w:lang w:eastAsia="es-CO"/>
              </w:rPr>
              <w:t xml:space="preserve"> 1 &amp; 2</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782B7A76"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Gasoducto Yopal - Morichal</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3705F708"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4.703.060</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7AE2B29D"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2.821.836</w:t>
            </w:r>
          </w:p>
        </w:tc>
      </w:tr>
      <w:tr w:rsidR="00704AEC" w:rsidRPr="00DE4266" w14:paraId="53A30E57" w14:textId="77777777" w:rsidTr="00675E77">
        <w:trPr>
          <w:trHeight w:val="547"/>
        </w:trPr>
        <w:tc>
          <w:tcPr>
            <w:tcW w:w="669" w:type="pct"/>
            <w:vMerge/>
            <w:tcBorders>
              <w:left w:val="single" w:sz="4" w:space="0" w:color="auto"/>
              <w:bottom w:val="single" w:sz="4" w:space="0" w:color="auto"/>
              <w:right w:val="single" w:sz="4" w:space="0" w:color="auto"/>
            </w:tcBorders>
            <w:shd w:val="clear" w:color="auto" w:fill="auto"/>
            <w:textDirection w:val="btLr"/>
            <w:vAlign w:val="center"/>
            <w:hideMark/>
          </w:tcPr>
          <w:p w14:paraId="084BBFAD"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5D050126"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 xml:space="preserve">Ramal </w:t>
            </w:r>
            <w:proofErr w:type="spellStart"/>
            <w:r w:rsidRPr="00DE4266">
              <w:rPr>
                <w:rFonts w:ascii="Arial" w:hAnsi="Arial" w:cs="Arial"/>
                <w:sz w:val="16"/>
                <w:szCs w:val="16"/>
                <w:lang w:eastAsia="es-CO"/>
              </w:rPr>
              <w:t>Yarigüíes</w:t>
            </w:r>
            <w:proofErr w:type="spellEnd"/>
            <w:r w:rsidRPr="00DE4266">
              <w:rPr>
                <w:rFonts w:ascii="Arial" w:hAnsi="Arial" w:cs="Arial"/>
                <w:sz w:val="16"/>
                <w:szCs w:val="16"/>
                <w:lang w:eastAsia="es-CO"/>
              </w:rPr>
              <w:t xml:space="preserve"> </w:t>
            </w:r>
            <w:proofErr w:type="gramStart"/>
            <w:r w:rsidRPr="00DE4266">
              <w:rPr>
                <w:rFonts w:ascii="Arial" w:hAnsi="Arial" w:cs="Arial"/>
                <w:sz w:val="16"/>
                <w:szCs w:val="16"/>
                <w:lang w:eastAsia="es-CO"/>
              </w:rPr>
              <w:t>-  Puente</w:t>
            </w:r>
            <w:proofErr w:type="gramEnd"/>
            <w:r w:rsidRPr="00DE4266">
              <w:rPr>
                <w:rFonts w:ascii="Arial" w:hAnsi="Arial" w:cs="Arial"/>
                <w:sz w:val="16"/>
                <w:szCs w:val="16"/>
                <w:lang w:eastAsia="es-CO"/>
              </w:rPr>
              <w:t xml:space="preserve"> Sogamoso</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2409FC94"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7.520</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2E2B7137"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4.512</w:t>
            </w:r>
          </w:p>
        </w:tc>
      </w:tr>
      <w:tr w:rsidR="00704AEC" w:rsidRPr="00DE4266" w14:paraId="1B54DB7D" w14:textId="77777777" w:rsidTr="00675E77">
        <w:trPr>
          <w:trHeight w:val="147"/>
        </w:trPr>
        <w:tc>
          <w:tcPr>
            <w:tcW w:w="66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316A04C3"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Pipelines 3, 4, &amp; 5</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4B45688F"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 xml:space="preserve">Ramal </w:t>
            </w:r>
            <w:proofErr w:type="spellStart"/>
            <w:r w:rsidRPr="00DE4266">
              <w:rPr>
                <w:rFonts w:ascii="Arial" w:hAnsi="Arial" w:cs="Arial"/>
                <w:sz w:val="16"/>
                <w:szCs w:val="16"/>
                <w:lang w:eastAsia="es-CO"/>
              </w:rPr>
              <w:t>Yarigüíes</w:t>
            </w:r>
            <w:proofErr w:type="spellEnd"/>
            <w:r w:rsidRPr="00DE4266">
              <w:rPr>
                <w:rFonts w:ascii="Arial" w:hAnsi="Arial" w:cs="Arial"/>
                <w:sz w:val="16"/>
                <w:szCs w:val="16"/>
                <w:lang w:eastAsia="es-CO"/>
              </w:rPr>
              <w:t xml:space="preserve"> </w:t>
            </w:r>
            <w:proofErr w:type="gramStart"/>
            <w:r w:rsidRPr="00DE4266">
              <w:rPr>
                <w:rFonts w:ascii="Arial" w:hAnsi="Arial" w:cs="Arial"/>
                <w:sz w:val="16"/>
                <w:szCs w:val="16"/>
                <w:lang w:eastAsia="es-CO"/>
              </w:rPr>
              <w:t>-  Puerto</w:t>
            </w:r>
            <w:proofErr w:type="gramEnd"/>
            <w:r w:rsidRPr="00DE4266">
              <w:rPr>
                <w:rFonts w:ascii="Arial" w:hAnsi="Arial" w:cs="Arial"/>
                <w:sz w:val="16"/>
                <w:szCs w:val="16"/>
                <w:lang w:eastAsia="es-CO"/>
              </w:rPr>
              <w:t xml:space="preserve"> Wilches</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40C906DF"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644.873</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7B197971"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386.924</w:t>
            </w:r>
          </w:p>
        </w:tc>
      </w:tr>
      <w:tr w:rsidR="00704AEC" w:rsidRPr="00DE4266" w14:paraId="1E461BDE" w14:textId="77777777" w:rsidTr="00675E77">
        <w:trPr>
          <w:trHeight w:val="580"/>
        </w:trPr>
        <w:tc>
          <w:tcPr>
            <w:tcW w:w="669" w:type="pct"/>
            <w:vMerge/>
            <w:tcBorders>
              <w:left w:val="single" w:sz="4" w:space="0" w:color="auto"/>
              <w:right w:val="single" w:sz="4" w:space="0" w:color="auto"/>
            </w:tcBorders>
            <w:shd w:val="clear" w:color="auto" w:fill="auto"/>
            <w:textDirection w:val="btLr"/>
            <w:vAlign w:val="center"/>
          </w:tcPr>
          <w:p w14:paraId="21751291"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23561B72"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Z. Industrial Cantagallo – Cantagallo</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3967A4EE"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127.847</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582F00FF"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76.708</w:t>
            </w:r>
          </w:p>
        </w:tc>
      </w:tr>
      <w:tr w:rsidR="00704AEC" w:rsidRPr="00DE4266" w14:paraId="056BDFFA" w14:textId="77777777" w:rsidTr="00675E77">
        <w:trPr>
          <w:trHeight w:val="588"/>
        </w:trPr>
        <w:tc>
          <w:tcPr>
            <w:tcW w:w="669" w:type="pct"/>
            <w:vMerge/>
            <w:tcBorders>
              <w:left w:val="single" w:sz="4" w:space="0" w:color="auto"/>
              <w:bottom w:val="single" w:sz="4" w:space="0" w:color="auto"/>
              <w:right w:val="single" w:sz="4" w:space="0" w:color="auto"/>
            </w:tcBorders>
            <w:shd w:val="clear" w:color="auto" w:fill="auto"/>
            <w:textDirection w:val="btLr"/>
            <w:vAlign w:val="center"/>
          </w:tcPr>
          <w:p w14:paraId="02A7D657"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7BD66E0A"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Cantagallo – San Pablo</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6C487CCE"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3.952.902</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33E8CF77"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2.371.741</w:t>
            </w:r>
          </w:p>
        </w:tc>
      </w:tr>
      <w:tr w:rsidR="00704AEC" w:rsidRPr="00DE4266" w14:paraId="6B4E2649" w14:textId="77777777" w:rsidTr="00675E77">
        <w:trPr>
          <w:trHeight w:val="610"/>
        </w:trPr>
        <w:tc>
          <w:tcPr>
            <w:tcW w:w="66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67C21D6"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6</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332AC212" w14:textId="1840956E" w:rsidR="00DE4266" w:rsidRPr="00DE4266" w:rsidRDefault="009F09CF" w:rsidP="00704AEC">
            <w:pPr>
              <w:ind w:left="426"/>
              <w:jc w:val="center"/>
              <w:rPr>
                <w:rFonts w:ascii="Arial" w:hAnsi="Arial" w:cs="Arial"/>
                <w:sz w:val="16"/>
                <w:szCs w:val="16"/>
                <w:lang w:eastAsia="es-CO"/>
              </w:rPr>
            </w:pPr>
            <w:r w:rsidRPr="00DE4266">
              <w:rPr>
                <w:rFonts w:ascii="Arial" w:hAnsi="Arial" w:cs="Arial"/>
                <w:sz w:val="16"/>
                <w:szCs w:val="16"/>
                <w:lang w:eastAsia="es-CO"/>
              </w:rPr>
              <w:t>Total, Galán</w:t>
            </w:r>
            <w:r w:rsidR="00DE4266" w:rsidRPr="00DE4266">
              <w:rPr>
                <w:rFonts w:ascii="Arial" w:hAnsi="Arial" w:cs="Arial"/>
                <w:sz w:val="16"/>
                <w:szCs w:val="16"/>
                <w:lang w:eastAsia="es-CO"/>
              </w:rPr>
              <w:t xml:space="preserve"> – Casabe – Yondó</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0A63F047"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10.371.549</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37058F10"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6.222.929</w:t>
            </w:r>
          </w:p>
        </w:tc>
      </w:tr>
      <w:tr w:rsidR="00704AEC" w:rsidRPr="00DE4266" w14:paraId="4FD8AE53" w14:textId="77777777" w:rsidTr="00675E77">
        <w:trPr>
          <w:trHeight w:val="555"/>
        </w:trPr>
        <w:tc>
          <w:tcPr>
            <w:tcW w:w="6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1FB7AE"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7</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4BD65D1C" w14:textId="77777777" w:rsidR="00DE4266" w:rsidRPr="00DE4266" w:rsidRDefault="00DE4266" w:rsidP="00704AEC">
            <w:pPr>
              <w:ind w:left="426"/>
              <w:jc w:val="center"/>
              <w:rPr>
                <w:rFonts w:ascii="Arial" w:hAnsi="Arial" w:cs="Arial"/>
                <w:sz w:val="16"/>
                <w:szCs w:val="16"/>
                <w:lang w:eastAsia="es-CO"/>
              </w:rPr>
            </w:pPr>
            <w:proofErr w:type="gramStart"/>
            <w:r w:rsidRPr="00DE4266">
              <w:rPr>
                <w:rFonts w:ascii="Arial" w:hAnsi="Arial" w:cs="Arial"/>
                <w:sz w:val="16"/>
                <w:szCs w:val="16"/>
                <w:lang w:eastAsia="es-CO"/>
              </w:rPr>
              <w:t>Total</w:t>
            </w:r>
            <w:proofErr w:type="gramEnd"/>
            <w:r w:rsidRPr="00DE4266">
              <w:rPr>
                <w:rFonts w:ascii="Arial" w:hAnsi="Arial" w:cs="Arial"/>
                <w:sz w:val="16"/>
                <w:szCs w:val="16"/>
                <w:lang w:eastAsia="es-CO"/>
              </w:rPr>
              <w:t xml:space="preserve"> Gasoducto Cusiana – Apiay</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79BEDF46"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43.698.129</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2A88740C"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26.218.878</w:t>
            </w:r>
          </w:p>
        </w:tc>
      </w:tr>
      <w:tr w:rsidR="00704AEC" w:rsidRPr="00DE4266" w14:paraId="2A9D6106" w14:textId="77777777" w:rsidTr="00675E77">
        <w:trPr>
          <w:trHeight w:val="546"/>
        </w:trPr>
        <w:tc>
          <w:tcPr>
            <w:tcW w:w="66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6A4884F"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 8</w:t>
            </w: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310E1697"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Gasoducto Apiay – Usme</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04857B2C"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29.038.082</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0FD2F212"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17.422.849</w:t>
            </w:r>
          </w:p>
        </w:tc>
      </w:tr>
      <w:tr w:rsidR="00704AEC" w:rsidRPr="00DE4266" w14:paraId="79F3E5BC" w14:textId="77777777" w:rsidTr="00675E77">
        <w:trPr>
          <w:trHeight w:val="154"/>
        </w:trPr>
        <w:tc>
          <w:tcPr>
            <w:tcW w:w="669" w:type="pct"/>
            <w:vMerge w:val="restart"/>
            <w:tcBorders>
              <w:top w:val="single" w:sz="4" w:space="0" w:color="auto"/>
              <w:left w:val="single" w:sz="4" w:space="0" w:color="auto"/>
              <w:right w:val="single" w:sz="4" w:space="0" w:color="auto"/>
            </w:tcBorders>
            <w:shd w:val="clear" w:color="auto" w:fill="auto"/>
            <w:textDirection w:val="btLr"/>
            <w:vAlign w:val="center"/>
            <w:hideMark/>
          </w:tcPr>
          <w:p w14:paraId="729FFDC4" w14:textId="77777777" w:rsidR="00DE4266" w:rsidRPr="00DE4266" w:rsidRDefault="00DE4266" w:rsidP="00704AEC">
            <w:pPr>
              <w:ind w:left="426"/>
              <w:jc w:val="center"/>
              <w:rPr>
                <w:rFonts w:ascii="Arial" w:hAnsi="Arial" w:cs="Arial"/>
                <w:b/>
                <w:bCs/>
                <w:color w:val="000000"/>
                <w:sz w:val="16"/>
                <w:szCs w:val="16"/>
                <w:lang w:eastAsia="es-CO"/>
              </w:rPr>
            </w:pPr>
            <w:r w:rsidRPr="00DE4266">
              <w:rPr>
                <w:rFonts w:ascii="Arial" w:hAnsi="Arial" w:cs="Arial"/>
                <w:b/>
                <w:bCs/>
                <w:color w:val="000000"/>
                <w:sz w:val="16"/>
                <w:szCs w:val="16"/>
                <w:lang w:eastAsia="es-CO"/>
              </w:rPr>
              <w:t>Pipelines 9 &amp; 10</w:t>
            </w:r>
          </w:p>
          <w:p w14:paraId="7ED73931"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21BA09B5"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 xml:space="preserve">Gasoducto Apiay - Villavicencio – </w:t>
            </w:r>
            <w:proofErr w:type="spellStart"/>
            <w:r w:rsidRPr="00DE4266">
              <w:rPr>
                <w:rFonts w:ascii="Arial" w:hAnsi="Arial" w:cs="Arial"/>
                <w:sz w:val="16"/>
                <w:szCs w:val="16"/>
                <w:lang w:eastAsia="es-CO"/>
              </w:rPr>
              <w:t>Ocoa</w:t>
            </w:r>
            <w:proofErr w:type="spellEnd"/>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791336CC"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14.293.429</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712A2C56"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8.576.058</w:t>
            </w:r>
          </w:p>
        </w:tc>
      </w:tr>
      <w:tr w:rsidR="00704AEC" w:rsidRPr="00DE4266" w14:paraId="7930A541" w14:textId="77777777" w:rsidTr="00675E77">
        <w:trPr>
          <w:trHeight w:val="670"/>
        </w:trPr>
        <w:tc>
          <w:tcPr>
            <w:tcW w:w="669" w:type="pct"/>
            <w:vMerge/>
            <w:tcBorders>
              <w:left w:val="single" w:sz="4" w:space="0" w:color="auto"/>
              <w:bottom w:val="single" w:sz="4" w:space="0" w:color="auto"/>
              <w:right w:val="single" w:sz="4" w:space="0" w:color="auto"/>
            </w:tcBorders>
            <w:shd w:val="clear" w:color="auto" w:fill="auto"/>
            <w:textDirection w:val="btLr"/>
            <w:vAlign w:val="center"/>
            <w:hideMark/>
          </w:tcPr>
          <w:p w14:paraId="1CC15F4D" w14:textId="77777777" w:rsidR="00DE4266" w:rsidRPr="00DE4266" w:rsidRDefault="00DE4266" w:rsidP="00704AEC">
            <w:pPr>
              <w:ind w:left="426"/>
              <w:jc w:val="center"/>
              <w:rPr>
                <w:rFonts w:ascii="Arial" w:hAnsi="Arial" w:cs="Arial"/>
                <w:b/>
                <w:bCs/>
                <w:color w:val="000000"/>
                <w:sz w:val="16"/>
                <w:szCs w:val="16"/>
                <w:lang w:eastAsia="es-CO"/>
              </w:rPr>
            </w:pPr>
          </w:p>
        </w:tc>
        <w:tc>
          <w:tcPr>
            <w:tcW w:w="2377" w:type="pct"/>
            <w:tcBorders>
              <w:top w:val="single" w:sz="4" w:space="0" w:color="auto"/>
              <w:left w:val="nil"/>
              <w:bottom w:val="single" w:sz="4" w:space="0" w:color="auto"/>
              <w:right w:val="single" w:sz="4" w:space="0" w:color="auto"/>
            </w:tcBorders>
            <w:shd w:val="clear" w:color="auto" w:fill="auto"/>
            <w:noWrap/>
            <w:vAlign w:val="center"/>
            <w:hideMark/>
          </w:tcPr>
          <w:p w14:paraId="4171C625" w14:textId="77777777" w:rsidR="00DE4266" w:rsidRPr="00DE4266" w:rsidRDefault="00DE4266" w:rsidP="00704AEC">
            <w:pPr>
              <w:ind w:left="426"/>
              <w:jc w:val="center"/>
              <w:rPr>
                <w:rFonts w:ascii="Arial" w:hAnsi="Arial" w:cs="Arial"/>
                <w:sz w:val="16"/>
                <w:szCs w:val="16"/>
                <w:lang w:eastAsia="es-CO"/>
              </w:rPr>
            </w:pPr>
            <w:r w:rsidRPr="00DE4266">
              <w:rPr>
                <w:rFonts w:ascii="Arial" w:hAnsi="Arial" w:cs="Arial"/>
                <w:sz w:val="16"/>
                <w:szCs w:val="16"/>
                <w:lang w:eastAsia="es-CO"/>
              </w:rPr>
              <w:t>Ramal Corregimiento Brisas de Bolívar</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14:paraId="44CB439F"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79.904</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44EDFDDB" w14:textId="77777777" w:rsidR="00DE4266" w:rsidRPr="00DE4266" w:rsidRDefault="00DE4266" w:rsidP="00704AEC">
            <w:pPr>
              <w:ind w:left="426"/>
              <w:jc w:val="center"/>
              <w:rPr>
                <w:rFonts w:ascii="Arial" w:hAnsi="Arial" w:cs="Arial"/>
                <w:color w:val="000000"/>
                <w:sz w:val="16"/>
                <w:szCs w:val="16"/>
                <w:lang w:eastAsia="es-CO"/>
              </w:rPr>
            </w:pPr>
            <w:r w:rsidRPr="00DE4266">
              <w:rPr>
                <w:rFonts w:ascii="Arial" w:hAnsi="Arial" w:cs="Arial"/>
                <w:color w:val="000000"/>
                <w:sz w:val="16"/>
                <w:szCs w:val="16"/>
                <w:lang w:eastAsia="es-CO"/>
              </w:rPr>
              <w:t>47.942</w:t>
            </w:r>
          </w:p>
        </w:tc>
      </w:tr>
      <w:tr w:rsidR="00704AEC" w:rsidRPr="00DE4266" w14:paraId="2E16340A" w14:textId="77777777" w:rsidTr="00675E77">
        <w:trPr>
          <w:trHeight w:val="139"/>
        </w:trPr>
        <w:tc>
          <w:tcPr>
            <w:tcW w:w="3046" w:type="pct"/>
            <w:gridSpan w:val="2"/>
            <w:tcBorders>
              <w:top w:val="nil"/>
              <w:left w:val="nil"/>
              <w:bottom w:val="nil"/>
              <w:right w:val="nil"/>
            </w:tcBorders>
            <w:shd w:val="clear" w:color="auto" w:fill="auto"/>
            <w:noWrap/>
            <w:vAlign w:val="bottom"/>
            <w:hideMark/>
          </w:tcPr>
          <w:p w14:paraId="5A40A1A0" w14:textId="77777777" w:rsidR="00DE4266" w:rsidRPr="00DE4266" w:rsidRDefault="00DE4266" w:rsidP="00704AEC">
            <w:pPr>
              <w:ind w:left="426"/>
              <w:rPr>
                <w:rFonts w:ascii="Arial" w:hAnsi="Arial" w:cs="Arial"/>
                <w:color w:val="000000"/>
                <w:sz w:val="16"/>
                <w:szCs w:val="16"/>
                <w:lang w:eastAsia="es-CO"/>
              </w:rPr>
            </w:pPr>
            <w:proofErr w:type="spellStart"/>
            <w:r w:rsidRPr="00DE4266">
              <w:rPr>
                <w:rFonts w:ascii="Arial" w:hAnsi="Arial" w:cs="Arial"/>
                <w:color w:val="000000"/>
                <w:sz w:val="16"/>
                <w:szCs w:val="16"/>
                <w:lang w:eastAsia="es-CO"/>
              </w:rPr>
              <w:t>Us</w:t>
            </w:r>
            <w:proofErr w:type="spellEnd"/>
            <w:r w:rsidRPr="00DE4266">
              <w:rPr>
                <w:rFonts w:ascii="Arial" w:hAnsi="Arial" w:cs="Arial"/>
                <w:color w:val="000000"/>
                <w:sz w:val="16"/>
                <w:szCs w:val="16"/>
                <w:lang w:eastAsia="es-CO"/>
              </w:rPr>
              <w:t xml:space="preserve"> dólares de diciembre de 2009</w:t>
            </w:r>
          </w:p>
        </w:tc>
        <w:tc>
          <w:tcPr>
            <w:tcW w:w="1060" w:type="pct"/>
            <w:tcBorders>
              <w:top w:val="nil"/>
              <w:left w:val="nil"/>
              <w:bottom w:val="nil"/>
              <w:right w:val="nil"/>
            </w:tcBorders>
            <w:shd w:val="clear" w:color="000000" w:fill="FFFFFF"/>
            <w:noWrap/>
            <w:vAlign w:val="center"/>
            <w:hideMark/>
          </w:tcPr>
          <w:p w14:paraId="7C85706E" w14:textId="77777777" w:rsidR="00DE4266" w:rsidRPr="00DE4266" w:rsidRDefault="00DE4266" w:rsidP="00704AEC">
            <w:pPr>
              <w:ind w:left="426"/>
              <w:rPr>
                <w:rFonts w:ascii="Arial" w:hAnsi="Arial" w:cs="Arial"/>
                <w:color w:val="FF0000"/>
                <w:sz w:val="16"/>
                <w:szCs w:val="16"/>
                <w:lang w:eastAsia="es-CO"/>
              </w:rPr>
            </w:pPr>
            <w:r w:rsidRPr="00DE4266">
              <w:rPr>
                <w:rFonts w:ascii="Arial" w:hAnsi="Arial" w:cs="Arial"/>
                <w:color w:val="FF0000"/>
                <w:sz w:val="16"/>
                <w:szCs w:val="16"/>
                <w:lang w:eastAsia="es-CO"/>
              </w:rPr>
              <w:t> </w:t>
            </w:r>
          </w:p>
        </w:tc>
        <w:tc>
          <w:tcPr>
            <w:tcW w:w="893" w:type="pct"/>
            <w:tcBorders>
              <w:top w:val="nil"/>
              <w:left w:val="nil"/>
              <w:bottom w:val="nil"/>
              <w:right w:val="nil"/>
            </w:tcBorders>
            <w:shd w:val="clear" w:color="auto" w:fill="auto"/>
            <w:noWrap/>
            <w:vAlign w:val="center"/>
            <w:hideMark/>
          </w:tcPr>
          <w:p w14:paraId="26372F16" w14:textId="77777777" w:rsidR="00DE4266" w:rsidRPr="00DE4266" w:rsidRDefault="00DE4266" w:rsidP="00704AEC">
            <w:pPr>
              <w:ind w:left="426"/>
              <w:rPr>
                <w:rFonts w:ascii="Arial" w:hAnsi="Arial" w:cs="Arial"/>
                <w:color w:val="FF0000"/>
                <w:sz w:val="16"/>
                <w:szCs w:val="16"/>
                <w:lang w:eastAsia="es-CO"/>
              </w:rPr>
            </w:pPr>
          </w:p>
        </w:tc>
      </w:tr>
    </w:tbl>
    <w:p w14:paraId="6EC69A51" w14:textId="77777777" w:rsidR="00D17FF8" w:rsidRPr="00DE4266" w:rsidRDefault="00D17FF8" w:rsidP="00704AEC">
      <w:pPr>
        <w:ind w:left="426"/>
        <w:rPr>
          <w:rFonts w:cs="Arial"/>
          <w:b/>
          <w:sz w:val="16"/>
          <w:szCs w:val="16"/>
        </w:rPr>
      </w:pPr>
    </w:p>
    <w:p w14:paraId="5876479D" w14:textId="14310D56" w:rsidR="004607F2" w:rsidRDefault="00FB0E28" w:rsidP="00691FFF">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L</w:t>
      </w:r>
      <w:r w:rsidR="00804ADE">
        <w:rPr>
          <w:rFonts w:eastAsia="Times New Roman" w:cs="Arial"/>
          <w:color w:val="000000" w:themeColor="text1"/>
          <w:spacing w:val="-3"/>
          <w:szCs w:val="24"/>
          <w:lang w:val="es-ES" w:eastAsia="es-ES"/>
        </w:rPr>
        <w:t xml:space="preserve">a Resolución CREG 162 de 2015 fue recurrida mediante radicado </w:t>
      </w:r>
      <w:r w:rsidR="00785CB2">
        <w:rPr>
          <w:rFonts w:eastAsia="Times New Roman" w:cs="Arial"/>
          <w:color w:val="000000" w:themeColor="text1"/>
          <w:spacing w:val="-3"/>
          <w:szCs w:val="24"/>
          <w:lang w:val="es-ES" w:eastAsia="es-ES"/>
        </w:rPr>
        <w:t xml:space="preserve">CREG </w:t>
      </w:r>
      <w:r w:rsidR="00691FFF" w:rsidRPr="00691FFF">
        <w:rPr>
          <w:rFonts w:eastAsia="Times New Roman" w:cs="Arial"/>
          <w:color w:val="000000" w:themeColor="text1"/>
          <w:spacing w:val="-3"/>
          <w:szCs w:val="24"/>
          <w:lang w:val="es-ES" w:eastAsia="es-ES"/>
        </w:rPr>
        <w:t>E-2015-011641</w:t>
      </w:r>
      <w:r w:rsidR="00691FFF">
        <w:rPr>
          <w:rFonts w:eastAsia="Times New Roman" w:cs="Arial"/>
          <w:color w:val="000000" w:themeColor="text1"/>
          <w:spacing w:val="-3"/>
          <w:szCs w:val="24"/>
          <w:lang w:val="es-ES" w:eastAsia="es-ES"/>
        </w:rPr>
        <w:t xml:space="preserve"> </w:t>
      </w:r>
      <w:r w:rsidR="00A221E4">
        <w:rPr>
          <w:rFonts w:eastAsia="Times New Roman" w:cs="Arial"/>
          <w:color w:val="000000" w:themeColor="text1"/>
          <w:spacing w:val="-3"/>
          <w:szCs w:val="24"/>
          <w:lang w:val="es-ES" w:eastAsia="es-ES"/>
        </w:rPr>
        <w:t xml:space="preserve">del 6 de noviembre de 2015 </w:t>
      </w:r>
      <w:r w:rsidR="00804ADE">
        <w:rPr>
          <w:rFonts w:eastAsia="Times New Roman" w:cs="Arial"/>
          <w:color w:val="000000" w:themeColor="text1"/>
          <w:spacing w:val="-3"/>
          <w:szCs w:val="24"/>
          <w:lang w:val="es-ES" w:eastAsia="es-ES"/>
        </w:rPr>
        <w:t>interpuesto por TGI</w:t>
      </w:r>
      <w:r w:rsidR="00B71FD1">
        <w:rPr>
          <w:rFonts w:eastAsia="Times New Roman" w:cs="Arial"/>
          <w:color w:val="000000" w:themeColor="text1"/>
          <w:spacing w:val="-3"/>
          <w:szCs w:val="24"/>
          <w:lang w:val="es-ES" w:eastAsia="es-ES"/>
        </w:rPr>
        <w:t xml:space="preserve">, el cual fue resuelto </w:t>
      </w:r>
      <w:r w:rsidR="00804ADE">
        <w:rPr>
          <w:rFonts w:eastAsia="Times New Roman" w:cs="Arial"/>
          <w:color w:val="000000" w:themeColor="text1"/>
          <w:spacing w:val="-3"/>
          <w:szCs w:val="24"/>
          <w:lang w:val="es-ES" w:eastAsia="es-ES"/>
        </w:rPr>
        <w:t>mediante</w:t>
      </w:r>
      <w:r>
        <w:rPr>
          <w:rFonts w:eastAsia="Times New Roman" w:cs="Arial"/>
          <w:color w:val="000000" w:themeColor="text1"/>
          <w:spacing w:val="-3"/>
          <w:szCs w:val="24"/>
          <w:lang w:val="es-ES" w:eastAsia="es-ES"/>
        </w:rPr>
        <w:t xml:space="preserve"> la</w:t>
      </w:r>
      <w:r w:rsidR="00804ADE">
        <w:rPr>
          <w:rFonts w:eastAsia="Times New Roman" w:cs="Arial"/>
          <w:color w:val="000000" w:themeColor="text1"/>
          <w:spacing w:val="-3"/>
          <w:szCs w:val="24"/>
          <w:lang w:val="es-ES" w:eastAsia="es-ES"/>
        </w:rPr>
        <w:t xml:space="preserve"> Resolución CREG </w:t>
      </w:r>
      <w:r w:rsidR="00BF7432">
        <w:rPr>
          <w:rFonts w:eastAsia="Times New Roman" w:cs="Arial"/>
          <w:color w:val="000000" w:themeColor="text1"/>
          <w:spacing w:val="-3"/>
          <w:szCs w:val="24"/>
          <w:lang w:val="es-ES" w:eastAsia="es-ES"/>
        </w:rPr>
        <w:t>008</w:t>
      </w:r>
      <w:r w:rsidR="00804ADE">
        <w:rPr>
          <w:rFonts w:eastAsia="Times New Roman" w:cs="Arial"/>
          <w:color w:val="000000" w:themeColor="text1"/>
          <w:spacing w:val="-3"/>
          <w:szCs w:val="24"/>
          <w:lang w:val="es-ES" w:eastAsia="es-ES"/>
        </w:rPr>
        <w:t xml:space="preserve"> de 2016</w:t>
      </w:r>
      <w:r w:rsidR="00785CB2">
        <w:rPr>
          <w:rFonts w:eastAsia="Times New Roman" w:cs="Arial"/>
          <w:color w:val="000000" w:themeColor="text1"/>
          <w:spacing w:val="-3"/>
          <w:szCs w:val="24"/>
          <w:lang w:val="es-ES" w:eastAsia="es-ES"/>
        </w:rPr>
        <w:t>,</w:t>
      </w:r>
      <w:r w:rsidR="00804ADE">
        <w:rPr>
          <w:rFonts w:eastAsia="Times New Roman" w:cs="Arial"/>
          <w:color w:val="000000" w:themeColor="text1"/>
          <w:spacing w:val="-3"/>
          <w:szCs w:val="24"/>
          <w:lang w:val="es-ES" w:eastAsia="es-ES"/>
        </w:rPr>
        <w:t xml:space="preserve"> cuya decisión fue no reponer y confirmar en su integralidad la Resolución CREG </w:t>
      </w:r>
      <w:r w:rsidR="000A0EF7">
        <w:rPr>
          <w:rFonts w:eastAsia="Times New Roman" w:cs="Arial"/>
          <w:color w:val="000000" w:themeColor="text1"/>
          <w:spacing w:val="-3"/>
          <w:szCs w:val="24"/>
          <w:lang w:val="es-ES" w:eastAsia="es-ES"/>
        </w:rPr>
        <w:t>162</w:t>
      </w:r>
      <w:r w:rsidR="00804ADE">
        <w:rPr>
          <w:rFonts w:eastAsia="Times New Roman" w:cs="Arial"/>
          <w:color w:val="000000" w:themeColor="text1"/>
          <w:spacing w:val="-3"/>
          <w:szCs w:val="24"/>
          <w:lang w:val="es-ES" w:eastAsia="es-ES"/>
        </w:rPr>
        <w:t xml:space="preserve"> de 201</w:t>
      </w:r>
      <w:r w:rsidR="000A0EF7">
        <w:rPr>
          <w:rFonts w:eastAsia="Times New Roman" w:cs="Arial"/>
          <w:color w:val="000000" w:themeColor="text1"/>
          <w:spacing w:val="-3"/>
          <w:szCs w:val="24"/>
          <w:lang w:val="es-ES" w:eastAsia="es-ES"/>
        </w:rPr>
        <w:t>5</w:t>
      </w:r>
      <w:r w:rsidR="00804ADE">
        <w:rPr>
          <w:rFonts w:eastAsia="Times New Roman" w:cs="Arial"/>
          <w:color w:val="000000" w:themeColor="text1"/>
          <w:spacing w:val="-3"/>
          <w:szCs w:val="24"/>
          <w:lang w:val="es-ES" w:eastAsia="es-ES"/>
        </w:rPr>
        <w:t>.</w:t>
      </w:r>
      <w:r w:rsidR="00547A7E">
        <w:rPr>
          <w:rFonts w:eastAsia="Times New Roman" w:cs="Arial"/>
          <w:color w:val="000000" w:themeColor="text1"/>
          <w:spacing w:val="-3"/>
          <w:szCs w:val="24"/>
          <w:lang w:val="es-ES" w:eastAsia="es-ES"/>
        </w:rPr>
        <w:t xml:space="preserve"> Con base en los valores aprobados</w:t>
      </w:r>
      <w:r w:rsidR="00D24F3C">
        <w:rPr>
          <w:rFonts w:eastAsia="Times New Roman" w:cs="Arial"/>
          <w:color w:val="000000" w:themeColor="text1"/>
          <w:spacing w:val="-3"/>
          <w:szCs w:val="24"/>
          <w:lang w:val="es-ES" w:eastAsia="es-ES"/>
        </w:rPr>
        <w:t>, m</w:t>
      </w:r>
      <w:r w:rsidR="004607F2">
        <w:rPr>
          <w:rFonts w:eastAsia="Times New Roman" w:cs="Arial"/>
          <w:color w:val="000000" w:themeColor="text1"/>
          <w:spacing w:val="-3"/>
          <w:szCs w:val="24"/>
          <w:lang w:val="es-ES" w:eastAsia="es-ES"/>
        </w:rPr>
        <w:t>ediante comunicación</w:t>
      </w:r>
      <w:r w:rsidR="008F15CE">
        <w:rPr>
          <w:rFonts w:eastAsia="Times New Roman" w:cs="Arial"/>
          <w:color w:val="000000" w:themeColor="text1"/>
          <w:spacing w:val="-3"/>
          <w:szCs w:val="24"/>
          <w:lang w:val="es-ES" w:eastAsia="es-ES"/>
        </w:rPr>
        <w:t xml:space="preserve"> con radicado CREG</w:t>
      </w:r>
      <w:r w:rsidR="004607F2">
        <w:rPr>
          <w:rFonts w:eastAsia="Times New Roman" w:cs="Arial"/>
          <w:color w:val="000000" w:themeColor="text1"/>
          <w:spacing w:val="-3"/>
          <w:szCs w:val="24"/>
          <w:lang w:val="es-ES" w:eastAsia="es-ES"/>
        </w:rPr>
        <w:t xml:space="preserve"> </w:t>
      </w:r>
      <w:r w:rsidR="00F74402" w:rsidRPr="00F74402">
        <w:rPr>
          <w:rFonts w:eastAsia="Times New Roman" w:cs="Arial"/>
          <w:color w:val="000000" w:themeColor="text1"/>
          <w:spacing w:val="-3"/>
          <w:szCs w:val="24"/>
          <w:lang w:val="es-ES" w:eastAsia="es-ES"/>
        </w:rPr>
        <w:t>E-2016-008882</w:t>
      </w:r>
      <w:r w:rsidR="003772E2">
        <w:rPr>
          <w:rFonts w:eastAsia="Times New Roman" w:cs="Arial"/>
          <w:color w:val="000000" w:themeColor="text1"/>
          <w:spacing w:val="-3"/>
          <w:szCs w:val="24"/>
          <w:lang w:val="es-ES" w:eastAsia="es-ES"/>
        </w:rPr>
        <w:t xml:space="preserve"> del 12 de agosto de 2016</w:t>
      </w:r>
      <w:r w:rsidR="00B71FD1">
        <w:rPr>
          <w:rFonts w:eastAsia="Times New Roman" w:cs="Arial"/>
          <w:color w:val="000000" w:themeColor="text1"/>
          <w:spacing w:val="-3"/>
          <w:szCs w:val="24"/>
          <w:lang w:val="es-ES" w:eastAsia="es-ES"/>
        </w:rPr>
        <w:t>,</w:t>
      </w:r>
      <w:r w:rsidR="00F74402">
        <w:rPr>
          <w:rFonts w:eastAsia="Times New Roman" w:cs="Arial"/>
          <w:color w:val="000000" w:themeColor="text1"/>
          <w:spacing w:val="-3"/>
          <w:szCs w:val="24"/>
          <w:lang w:val="es-ES" w:eastAsia="es-ES"/>
        </w:rPr>
        <w:t xml:space="preserve"> TGI inform</w:t>
      </w:r>
      <w:r w:rsidR="00B71FD1">
        <w:rPr>
          <w:rFonts w:eastAsia="Times New Roman" w:cs="Arial"/>
          <w:color w:val="000000" w:themeColor="text1"/>
          <w:spacing w:val="-3"/>
          <w:szCs w:val="24"/>
          <w:lang w:val="es-ES" w:eastAsia="es-ES"/>
        </w:rPr>
        <w:t>ó</w:t>
      </w:r>
      <w:r w:rsidR="00F74402">
        <w:rPr>
          <w:rFonts w:eastAsia="Times New Roman" w:cs="Arial"/>
          <w:color w:val="000000" w:themeColor="text1"/>
          <w:spacing w:val="-3"/>
          <w:szCs w:val="24"/>
          <w:lang w:val="es-ES" w:eastAsia="es-ES"/>
        </w:rPr>
        <w:t xml:space="preserve"> la decisión tomada sobre la reposición de activos</w:t>
      </w:r>
      <w:r w:rsidR="00785CB2">
        <w:rPr>
          <w:rFonts w:eastAsia="Times New Roman" w:cs="Arial"/>
          <w:color w:val="000000" w:themeColor="text1"/>
          <w:spacing w:val="-3"/>
          <w:szCs w:val="24"/>
          <w:lang w:val="es-ES" w:eastAsia="es-ES"/>
        </w:rPr>
        <w:t>,</w:t>
      </w:r>
      <w:r w:rsidR="00F74402">
        <w:rPr>
          <w:rFonts w:eastAsia="Times New Roman" w:cs="Arial"/>
          <w:color w:val="000000" w:themeColor="text1"/>
          <w:spacing w:val="-3"/>
          <w:szCs w:val="24"/>
          <w:lang w:val="es-ES" w:eastAsia="es-ES"/>
        </w:rPr>
        <w:t xml:space="preserve"> tal como se presenta en la siguiente tabla:</w:t>
      </w:r>
    </w:p>
    <w:p w14:paraId="7210FBCE" w14:textId="77777777" w:rsidR="00925F6D" w:rsidRDefault="00925F6D" w:rsidP="00691FFF">
      <w:pPr>
        <w:spacing w:after="0"/>
        <w:jc w:val="both"/>
        <w:rPr>
          <w:rFonts w:eastAsia="Times New Roman" w:cs="Arial"/>
          <w:color w:val="000000" w:themeColor="text1"/>
          <w:spacing w:val="-3"/>
          <w:szCs w:val="24"/>
          <w:lang w:val="es-ES" w:eastAsia="es-ES"/>
        </w:rPr>
      </w:pPr>
    </w:p>
    <w:p w14:paraId="42AED056" w14:textId="3BE1C0E4" w:rsidR="00D24F3C" w:rsidRDefault="00D24F3C" w:rsidP="00691FFF">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w:t>
      </w:r>
    </w:p>
    <w:p w14:paraId="4FF9EA9F" w14:textId="1CBCC572" w:rsidR="004607F2" w:rsidRDefault="004607F2" w:rsidP="002F76A9">
      <w:pPr>
        <w:spacing w:after="0"/>
        <w:jc w:val="center"/>
        <w:rPr>
          <w:rFonts w:eastAsia="Times New Roman" w:cs="Arial"/>
          <w:color w:val="000000" w:themeColor="text1"/>
          <w:spacing w:val="-3"/>
          <w:szCs w:val="24"/>
          <w:lang w:val="es-ES" w:eastAsia="es-ES"/>
        </w:rPr>
      </w:pPr>
      <w:r w:rsidRPr="004607F2">
        <w:rPr>
          <w:rFonts w:eastAsia="Times New Roman" w:cs="Arial"/>
          <w:noProof/>
          <w:color w:val="000000" w:themeColor="text1"/>
          <w:spacing w:val="-3"/>
          <w:szCs w:val="24"/>
          <w:lang w:val="es-ES" w:eastAsia="es-ES"/>
        </w:rPr>
        <w:drawing>
          <wp:inline distT="0" distB="0" distL="0" distR="0" wp14:anchorId="10EF70AC" wp14:editId="113B9553">
            <wp:extent cx="4748981" cy="3710459"/>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6014" cy="3715954"/>
                    </a:xfrm>
                    <a:prstGeom prst="rect">
                      <a:avLst/>
                    </a:prstGeom>
                  </pic:spPr>
                </pic:pic>
              </a:graphicData>
            </a:graphic>
          </wp:inline>
        </w:drawing>
      </w:r>
    </w:p>
    <w:p w14:paraId="7A633362" w14:textId="77777777" w:rsidR="00675E77" w:rsidRDefault="00675E77" w:rsidP="002F76A9">
      <w:pPr>
        <w:spacing w:after="0"/>
        <w:jc w:val="center"/>
        <w:rPr>
          <w:rFonts w:eastAsia="Times New Roman" w:cs="Arial"/>
          <w:color w:val="000000" w:themeColor="text1"/>
          <w:spacing w:val="-3"/>
          <w:szCs w:val="24"/>
          <w:lang w:val="es-ES" w:eastAsia="es-ES"/>
        </w:rPr>
      </w:pPr>
    </w:p>
    <w:p w14:paraId="65B84A4E" w14:textId="67916927" w:rsidR="004F65B9" w:rsidRDefault="004607F2" w:rsidP="00675E77">
      <w:pPr>
        <w:spacing w:after="0"/>
        <w:ind w:left="142"/>
        <w:jc w:val="center"/>
        <w:rPr>
          <w:rFonts w:eastAsia="Times New Roman" w:cs="Arial"/>
          <w:color w:val="000000" w:themeColor="text1"/>
          <w:spacing w:val="-3"/>
          <w:szCs w:val="24"/>
          <w:lang w:val="es-ES" w:eastAsia="es-ES"/>
        </w:rPr>
      </w:pPr>
      <w:r w:rsidRPr="004607F2">
        <w:rPr>
          <w:rFonts w:eastAsia="Times New Roman" w:cs="Arial"/>
          <w:noProof/>
          <w:color w:val="000000" w:themeColor="text1"/>
          <w:spacing w:val="-3"/>
          <w:szCs w:val="24"/>
          <w:lang w:val="es-ES" w:eastAsia="es-ES"/>
        </w:rPr>
        <w:drawing>
          <wp:inline distT="0" distB="0" distL="0" distR="0" wp14:anchorId="331F3DE3" wp14:editId="4136A327">
            <wp:extent cx="4638675" cy="16964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64" b="-2"/>
                    <a:stretch/>
                  </pic:blipFill>
                  <pic:spPr bwMode="auto">
                    <a:xfrm>
                      <a:off x="0" y="0"/>
                      <a:ext cx="4756296" cy="1739449"/>
                    </a:xfrm>
                    <a:prstGeom prst="rect">
                      <a:avLst/>
                    </a:prstGeom>
                    <a:ln>
                      <a:noFill/>
                    </a:ln>
                    <a:extLst>
                      <a:ext uri="{53640926-AAD7-44D8-BBD7-CCE9431645EC}">
                        <a14:shadowObscured xmlns:a14="http://schemas.microsoft.com/office/drawing/2010/main"/>
                      </a:ext>
                    </a:extLst>
                  </pic:spPr>
                </pic:pic>
              </a:graphicData>
            </a:graphic>
          </wp:inline>
        </w:drawing>
      </w:r>
      <w:r w:rsidR="00D24F3C">
        <w:rPr>
          <w:rFonts w:eastAsia="Times New Roman" w:cs="Arial"/>
          <w:color w:val="000000" w:themeColor="text1"/>
          <w:spacing w:val="-3"/>
          <w:szCs w:val="24"/>
          <w:lang w:val="es-ES" w:eastAsia="es-ES"/>
        </w:rPr>
        <w:t>”</w:t>
      </w:r>
    </w:p>
    <w:p w14:paraId="7F948718" w14:textId="77777777" w:rsidR="00D24F3C" w:rsidRDefault="00D24F3C" w:rsidP="00675E77">
      <w:pPr>
        <w:spacing w:after="0"/>
        <w:ind w:left="142"/>
        <w:jc w:val="center"/>
        <w:rPr>
          <w:rFonts w:eastAsia="Times New Roman" w:cs="Arial"/>
          <w:color w:val="000000" w:themeColor="text1"/>
          <w:spacing w:val="-3"/>
          <w:szCs w:val="24"/>
          <w:lang w:val="es-ES" w:eastAsia="es-ES"/>
        </w:rPr>
      </w:pPr>
    </w:p>
    <w:p w14:paraId="11526647" w14:textId="0AB67F7F" w:rsidR="007E74F3" w:rsidRDefault="007E74F3" w:rsidP="007E74F3">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Mediante la Resolución CREG 085 de 2016 se aprobaron los </w:t>
      </w:r>
      <w:r w:rsidR="00A95092">
        <w:rPr>
          <w:rFonts w:eastAsia="Times New Roman" w:cs="Arial"/>
          <w:color w:val="000000" w:themeColor="text1"/>
          <w:spacing w:val="-3"/>
          <w:szCs w:val="24"/>
          <w:lang w:val="es-ES" w:eastAsia="es-ES"/>
        </w:rPr>
        <w:t xml:space="preserve">siguientes </w:t>
      </w:r>
      <w:r>
        <w:rPr>
          <w:rFonts w:eastAsia="Times New Roman" w:cs="Arial"/>
          <w:color w:val="000000" w:themeColor="text1"/>
          <w:spacing w:val="-3"/>
          <w:szCs w:val="24"/>
          <w:lang w:val="es-ES" w:eastAsia="es-ES"/>
        </w:rPr>
        <w:t xml:space="preserve">valores VAO y VRAN </w:t>
      </w:r>
      <w:r w:rsidR="00925F6D">
        <w:rPr>
          <w:rFonts w:eastAsia="Times New Roman" w:cs="Arial"/>
          <w:color w:val="000000" w:themeColor="text1"/>
          <w:spacing w:val="-3"/>
          <w:szCs w:val="24"/>
          <w:lang w:val="es-ES" w:eastAsia="es-ES"/>
        </w:rPr>
        <w:t xml:space="preserve">para los activos </w:t>
      </w:r>
      <w:r w:rsidR="0076119B">
        <w:rPr>
          <w:rFonts w:eastAsia="Times New Roman" w:cs="Arial"/>
          <w:color w:val="000000" w:themeColor="text1"/>
          <w:spacing w:val="-3"/>
          <w:szCs w:val="24"/>
          <w:lang w:val="es-ES" w:eastAsia="es-ES"/>
        </w:rPr>
        <w:t xml:space="preserve">que hacen parte </w:t>
      </w:r>
      <w:r w:rsidR="00925F6D">
        <w:rPr>
          <w:rFonts w:eastAsia="Times New Roman" w:cs="Arial"/>
          <w:color w:val="000000" w:themeColor="text1"/>
          <w:spacing w:val="-3"/>
          <w:szCs w:val="24"/>
          <w:lang w:val="es-ES" w:eastAsia="es-ES"/>
        </w:rPr>
        <w:t>del sistema de TGI:</w:t>
      </w:r>
    </w:p>
    <w:p w14:paraId="2B401246" w14:textId="77777777" w:rsidR="00824EEE" w:rsidRDefault="00824EEE" w:rsidP="00785CB2">
      <w:pPr>
        <w:pStyle w:val="Cita"/>
        <w:ind w:right="284"/>
      </w:pPr>
    </w:p>
    <w:p w14:paraId="08125ED0" w14:textId="4B237B5A" w:rsidR="00A95092" w:rsidRPr="00A95092" w:rsidRDefault="00925F6D" w:rsidP="00785CB2">
      <w:pPr>
        <w:pStyle w:val="Cita"/>
        <w:ind w:right="284"/>
      </w:pPr>
      <w:r>
        <w:lastRenderedPageBreak/>
        <w:t>“</w:t>
      </w:r>
      <w:r w:rsidR="00A95092" w:rsidRPr="00A95092">
        <w:t xml:space="preserve">Artículo 1. Costo de reposición a nuevo, VRAN, y valor a reconocer para los activos de TGI S.A. E.S.P. que se mantengan en operación, </w:t>
      </w:r>
      <w:proofErr w:type="spellStart"/>
      <w:r w:rsidR="00A95092" w:rsidRPr="00A95092">
        <w:t>VAO</w:t>
      </w:r>
      <w:r w:rsidR="00A95092" w:rsidRPr="00A95092">
        <w:rPr>
          <w:vertAlign w:val="subscript"/>
        </w:rPr>
        <w:t>t</w:t>
      </w:r>
      <w:proofErr w:type="spellEnd"/>
      <w:r w:rsidR="00A95092" w:rsidRPr="00A95092">
        <w:t xml:space="preserve">. De conformidad con lo establecido en el artículo 14 de la Resolución CREG 126 de 2010 se aprueban los siguientes valores correspondientes al costo de reposición a nuevo, VRAN, de los activos de TGI S.A. E.S.P. que hacen parte de la presente actuación administrativa, y los valores a reconocer para aquellos activos que hacen parte de la presente actuación administrativa que se mantengan en operación, </w:t>
      </w:r>
      <w:proofErr w:type="spellStart"/>
      <w:r w:rsidR="00A95092" w:rsidRPr="00A95092">
        <w:t>VAOt</w:t>
      </w:r>
      <w:proofErr w:type="spellEnd"/>
      <w:r w:rsidR="00A95092" w:rsidRPr="00A95092">
        <w:t>:</w:t>
      </w:r>
    </w:p>
    <w:p w14:paraId="43CC032A" w14:textId="77777777" w:rsidR="00A95092" w:rsidRPr="00A95092" w:rsidRDefault="00A95092" w:rsidP="00A95092">
      <w:pPr>
        <w:ind w:left="709"/>
        <w:rPr>
          <w:rFonts w:cs="Arial"/>
          <w:b/>
          <w:i/>
          <w:iCs/>
          <w:sz w:val="16"/>
          <w:szCs w:val="16"/>
        </w:rPr>
      </w:pPr>
    </w:p>
    <w:tbl>
      <w:tblPr>
        <w:tblW w:w="5220" w:type="dxa"/>
        <w:jc w:val="center"/>
        <w:tblCellMar>
          <w:left w:w="70" w:type="dxa"/>
          <w:right w:w="70" w:type="dxa"/>
        </w:tblCellMar>
        <w:tblLook w:val="04A0" w:firstRow="1" w:lastRow="0" w:firstColumn="1" w:lastColumn="0" w:noHBand="0" w:noVBand="1"/>
      </w:tblPr>
      <w:tblGrid>
        <w:gridCol w:w="2380"/>
        <w:gridCol w:w="1640"/>
        <w:gridCol w:w="1640"/>
      </w:tblGrid>
      <w:tr w:rsidR="00A95092" w:rsidRPr="00A95092" w14:paraId="007669A4" w14:textId="77777777" w:rsidTr="00785CB2">
        <w:trPr>
          <w:trHeight w:val="555"/>
          <w:tblHeader/>
          <w:jc w:val="center"/>
        </w:trPr>
        <w:tc>
          <w:tcPr>
            <w:tcW w:w="2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2458B" w14:textId="77777777" w:rsidR="00A95092" w:rsidRPr="00A95092" w:rsidRDefault="00A95092" w:rsidP="00A95092">
            <w:pPr>
              <w:ind w:left="709"/>
              <w:jc w:val="center"/>
              <w:rPr>
                <w:b/>
                <w:bCs/>
                <w:i/>
                <w:iCs/>
                <w:color w:val="000000"/>
                <w:sz w:val="16"/>
                <w:szCs w:val="16"/>
                <w:lang w:eastAsia="es-CO"/>
              </w:rPr>
            </w:pPr>
            <w:r w:rsidRPr="00A95092">
              <w:rPr>
                <w:b/>
                <w:bCs/>
                <w:i/>
                <w:iCs/>
                <w:color w:val="000000"/>
                <w:sz w:val="16"/>
                <w:szCs w:val="16"/>
                <w:lang w:eastAsia="es-CO"/>
              </w:rPr>
              <w:t>Ramal</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14:paraId="60528C75" w14:textId="77777777" w:rsidR="00A95092" w:rsidRPr="00A95092" w:rsidRDefault="00A95092" w:rsidP="00A95092">
            <w:pPr>
              <w:ind w:left="709"/>
              <w:jc w:val="center"/>
              <w:rPr>
                <w:b/>
                <w:bCs/>
                <w:i/>
                <w:iCs/>
                <w:color w:val="000000"/>
                <w:sz w:val="16"/>
                <w:szCs w:val="16"/>
                <w:lang w:eastAsia="es-CO"/>
              </w:rPr>
            </w:pPr>
            <w:r w:rsidRPr="00A95092">
              <w:rPr>
                <w:b/>
                <w:bCs/>
                <w:i/>
                <w:iCs/>
                <w:color w:val="000000"/>
                <w:sz w:val="16"/>
                <w:szCs w:val="16"/>
                <w:lang w:eastAsia="es-CO"/>
              </w:rPr>
              <w:t>VRAN</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14:paraId="59E34FBA" w14:textId="77777777" w:rsidR="00A95092" w:rsidRPr="00A95092" w:rsidRDefault="00A95092" w:rsidP="00A95092">
            <w:pPr>
              <w:ind w:left="709"/>
              <w:jc w:val="center"/>
              <w:rPr>
                <w:b/>
                <w:bCs/>
                <w:i/>
                <w:iCs/>
                <w:color w:val="000000"/>
                <w:sz w:val="16"/>
                <w:szCs w:val="16"/>
                <w:lang w:eastAsia="es-CO"/>
              </w:rPr>
            </w:pPr>
            <w:proofErr w:type="spellStart"/>
            <w:r w:rsidRPr="00A95092">
              <w:rPr>
                <w:b/>
                <w:bCs/>
                <w:i/>
                <w:iCs/>
                <w:color w:val="000000"/>
                <w:sz w:val="16"/>
                <w:szCs w:val="16"/>
                <w:lang w:eastAsia="es-CO"/>
              </w:rPr>
              <w:t>VAO</w:t>
            </w:r>
            <w:r w:rsidRPr="00A95092">
              <w:rPr>
                <w:b/>
                <w:bCs/>
                <w:i/>
                <w:iCs/>
                <w:color w:val="000000"/>
                <w:sz w:val="16"/>
                <w:szCs w:val="16"/>
                <w:vertAlign w:val="subscript"/>
                <w:lang w:eastAsia="es-CO"/>
              </w:rPr>
              <w:t>t</w:t>
            </w:r>
            <w:proofErr w:type="spellEnd"/>
          </w:p>
        </w:tc>
      </w:tr>
      <w:tr w:rsidR="00A95092" w:rsidRPr="00A95092" w14:paraId="4CB9BAFB"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9BF6E9A"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Ramal Villavicencio</w:t>
            </w:r>
          </w:p>
        </w:tc>
        <w:tc>
          <w:tcPr>
            <w:tcW w:w="1420" w:type="dxa"/>
            <w:tcBorders>
              <w:top w:val="nil"/>
              <w:left w:val="nil"/>
              <w:bottom w:val="single" w:sz="4" w:space="0" w:color="auto"/>
              <w:right w:val="single" w:sz="4" w:space="0" w:color="auto"/>
            </w:tcBorders>
            <w:shd w:val="clear" w:color="auto" w:fill="auto"/>
            <w:noWrap/>
            <w:vAlign w:val="bottom"/>
            <w:hideMark/>
          </w:tcPr>
          <w:p w14:paraId="2002E25D"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1.251.134 </w:t>
            </w:r>
          </w:p>
        </w:tc>
        <w:tc>
          <w:tcPr>
            <w:tcW w:w="1420" w:type="dxa"/>
            <w:tcBorders>
              <w:top w:val="nil"/>
              <w:left w:val="nil"/>
              <w:bottom w:val="single" w:sz="4" w:space="0" w:color="auto"/>
              <w:right w:val="single" w:sz="4" w:space="0" w:color="auto"/>
            </w:tcBorders>
            <w:shd w:val="clear" w:color="auto" w:fill="auto"/>
            <w:noWrap/>
            <w:vAlign w:val="bottom"/>
            <w:hideMark/>
          </w:tcPr>
          <w:p w14:paraId="29B2D59D"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750.680 </w:t>
            </w:r>
          </w:p>
        </w:tc>
      </w:tr>
      <w:tr w:rsidR="00A95092" w:rsidRPr="00A95092" w14:paraId="4B2F50A0"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C470BF3"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Acacías</w:t>
            </w:r>
          </w:p>
        </w:tc>
        <w:tc>
          <w:tcPr>
            <w:tcW w:w="1420" w:type="dxa"/>
            <w:tcBorders>
              <w:top w:val="nil"/>
              <w:left w:val="nil"/>
              <w:bottom w:val="single" w:sz="4" w:space="0" w:color="auto"/>
              <w:right w:val="single" w:sz="4" w:space="0" w:color="auto"/>
            </w:tcBorders>
            <w:shd w:val="clear" w:color="auto" w:fill="auto"/>
            <w:noWrap/>
            <w:vAlign w:val="bottom"/>
            <w:hideMark/>
          </w:tcPr>
          <w:p w14:paraId="1CA217CF"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3.566.842 </w:t>
            </w:r>
          </w:p>
        </w:tc>
        <w:tc>
          <w:tcPr>
            <w:tcW w:w="1420" w:type="dxa"/>
            <w:tcBorders>
              <w:top w:val="nil"/>
              <w:left w:val="nil"/>
              <w:bottom w:val="single" w:sz="4" w:space="0" w:color="auto"/>
              <w:right w:val="single" w:sz="4" w:space="0" w:color="auto"/>
            </w:tcBorders>
            <w:shd w:val="clear" w:color="auto" w:fill="auto"/>
            <w:noWrap/>
            <w:vAlign w:val="bottom"/>
            <w:hideMark/>
          </w:tcPr>
          <w:p w14:paraId="11783253"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2.140.105 </w:t>
            </w:r>
          </w:p>
        </w:tc>
      </w:tr>
      <w:tr w:rsidR="00A95092" w:rsidRPr="00A95092" w14:paraId="2FF2FCC5"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134E5FC"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Pompeya</w:t>
            </w:r>
          </w:p>
        </w:tc>
        <w:tc>
          <w:tcPr>
            <w:tcW w:w="1420" w:type="dxa"/>
            <w:tcBorders>
              <w:top w:val="nil"/>
              <w:left w:val="nil"/>
              <w:bottom w:val="single" w:sz="4" w:space="0" w:color="auto"/>
              <w:right w:val="single" w:sz="4" w:space="0" w:color="auto"/>
            </w:tcBorders>
            <w:shd w:val="clear" w:color="auto" w:fill="auto"/>
            <w:noWrap/>
            <w:vAlign w:val="bottom"/>
            <w:hideMark/>
          </w:tcPr>
          <w:p w14:paraId="1567E8EA"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213.551 </w:t>
            </w:r>
          </w:p>
        </w:tc>
        <w:tc>
          <w:tcPr>
            <w:tcW w:w="1420" w:type="dxa"/>
            <w:tcBorders>
              <w:top w:val="nil"/>
              <w:left w:val="nil"/>
              <w:bottom w:val="single" w:sz="4" w:space="0" w:color="auto"/>
              <w:right w:val="single" w:sz="4" w:space="0" w:color="auto"/>
            </w:tcBorders>
            <w:shd w:val="clear" w:color="auto" w:fill="auto"/>
            <w:noWrap/>
            <w:vAlign w:val="bottom"/>
            <w:hideMark/>
          </w:tcPr>
          <w:p w14:paraId="4E5F0FEE"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128.130 </w:t>
            </w:r>
          </w:p>
        </w:tc>
      </w:tr>
      <w:tr w:rsidR="00A95092" w:rsidRPr="00A95092" w14:paraId="332D9980"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7D7ED35"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Aguazul</w:t>
            </w:r>
          </w:p>
        </w:tc>
        <w:tc>
          <w:tcPr>
            <w:tcW w:w="1420" w:type="dxa"/>
            <w:tcBorders>
              <w:top w:val="nil"/>
              <w:left w:val="nil"/>
              <w:bottom w:val="single" w:sz="4" w:space="0" w:color="auto"/>
              <w:right w:val="single" w:sz="4" w:space="0" w:color="auto"/>
            </w:tcBorders>
            <w:shd w:val="clear" w:color="auto" w:fill="auto"/>
            <w:noWrap/>
            <w:vAlign w:val="bottom"/>
            <w:hideMark/>
          </w:tcPr>
          <w:p w14:paraId="51B3C359"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6.241.547 </w:t>
            </w:r>
          </w:p>
        </w:tc>
        <w:tc>
          <w:tcPr>
            <w:tcW w:w="1420" w:type="dxa"/>
            <w:tcBorders>
              <w:top w:val="nil"/>
              <w:left w:val="nil"/>
              <w:bottom w:val="single" w:sz="4" w:space="0" w:color="auto"/>
              <w:right w:val="single" w:sz="4" w:space="0" w:color="auto"/>
            </w:tcBorders>
            <w:shd w:val="clear" w:color="auto" w:fill="auto"/>
            <w:noWrap/>
            <w:vAlign w:val="bottom"/>
            <w:hideMark/>
          </w:tcPr>
          <w:p w14:paraId="785A16E7"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3.744.928 </w:t>
            </w:r>
          </w:p>
        </w:tc>
      </w:tr>
      <w:tr w:rsidR="00A95092" w:rsidRPr="00A95092" w14:paraId="55C98AD5"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7668775"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Ramal Tauramena</w:t>
            </w:r>
          </w:p>
        </w:tc>
        <w:tc>
          <w:tcPr>
            <w:tcW w:w="1420" w:type="dxa"/>
            <w:tcBorders>
              <w:top w:val="nil"/>
              <w:left w:val="nil"/>
              <w:bottom w:val="single" w:sz="4" w:space="0" w:color="auto"/>
              <w:right w:val="single" w:sz="4" w:space="0" w:color="auto"/>
            </w:tcBorders>
            <w:shd w:val="clear" w:color="auto" w:fill="auto"/>
            <w:noWrap/>
            <w:vAlign w:val="bottom"/>
            <w:hideMark/>
          </w:tcPr>
          <w:p w14:paraId="33678A0B"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1.200.334 </w:t>
            </w:r>
          </w:p>
        </w:tc>
        <w:tc>
          <w:tcPr>
            <w:tcW w:w="1420" w:type="dxa"/>
            <w:tcBorders>
              <w:top w:val="nil"/>
              <w:left w:val="nil"/>
              <w:bottom w:val="single" w:sz="4" w:space="0" w:color="auto"/>
              <w:right w:val="single" w:sz="4" w:space="0" w:color="auto"/>
            </w:tcBorders>
            <w:shd w:val="clear" w:color="auto" w:fill="auto"/>
            <w:noWrap/>
            <w:vAlign w:val="bottom"/>
            <w:hideMark/>
          </w:tcPr>
          <w:p w14:paraId="26278943"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720.200 </w:t>
            </w:r>
          </w:p>
        </w:tc>
      </w:tr>
      <w:tr w:rsidR="00A95092" w:rsidRPr="00A95092" w14:paraId="5D5436CF"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FDFEFC3"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Monterrey</w:t>
            </w:r>
          </w:p>
        </w:tc>
        <w:tc>
          <w:tcPr>
            <w:tcW w:w="1420" w:type="dxa"/>
            <w:tcBorders>
              <w:top w:val="nil"/>
              <w:left w:val="nil"/>
              <w:bottom w:val="single" w:sz="4" w:space="0" w:color="auto"/>
              <w:right w:val="single" w:sz="4" w:space="0" w:color="auto"/>
            </w:tcBorders>
            <w:shd w:val="clear" w:color="auto" w:fill="auto"/>
            <w:noWrap/>
            <w:vAlign w:val="bottom"/>
            <w:hideMark/>
          </w:tcPr>
          <w:p w14:paraId="3CFDD246"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600.751 </w:t>
            </w:r>
          </w:p>
        </w:tc>
        <w:tc>
          <w:tcPr>
            <w:tcW w:w="1420" w:type="dxa"/>
            <w:tcBorders>
              <w:top w:val="nil"/>
              <w:left w:val="nil"/>
              <w:bottom w:val="single" w:sz="4" w:space="0" w:color="auto"/>
              <w:right w:val="single" w:sz="4" w:space="0" w:color="auto"/>
            </w:tcBorders>
            <w:shd w:val="clear" w:color="auto" w:fill="auto"/>
            <w:noWrap/>
            <w:vAlign w:val="bottom"/>
            <w:hideMark/>
          </w:tcPr>
          <w:p w14:paraId="70789760"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360.450 </w:t>
            </w:r>
          </w:p>
        </w:tc>
      </w:tr>
      <w:tr w:rsidR="00A95092" w:rsidRPr="00A95092" w14:paraId="673C25A4"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2C783A3"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Cumaral</w:t>
            </w:r>
          </w:p>
        </w:tc>
        <w:tc>
          <w:tcPr>
            <w:tcW w:w="1420" w:type="dxa"/>
            <w:tcBorders>
              <w:top w:val="nil"/>
              <w:left w:val="nil"/>
              <w:bottom w:val="single" w:sz="4" w:space="0" w:color="auto"/>
              <w:right w:val="single" w:sz="4" w:space="0" w:color="auto"/>
            </w:tcBorders>
            <w:shd w:val="clear" w:color="auto" w:fill="auto"/>
            <w:noWrap/>
            <w:vAlign w:val="bottom"/>
            <w:hideMark/>
          </w:tcPr>
          <w:p w14:paraId="3B11AEED"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1.758.454 </w:t>
            </w:r>
          </w:p>
        </w:tc>
        <w:tc>
          <w:tcPr>
            <w:tcW w:w="1420" w:type="dxa"/>
            <w:tcBorders>
              <w:top w:val="nil"/>
              <w:left w:val="nil"/>
              <w:bottom w:val="single" w:sz="4" w:space="0" w:color="auto"/>
              <w:right w:val="single" w:sz="4" w:space="0" w:color="auto"/>
            </w:tcBorders>
            <w:shd w:val="clear" w:color="auto" w:fill="auto"/>
            <w:noWrap/>
            <w:vAlign w:val="bottom"/>
            <w:hideMark/>
          </w:tcPr>
          <w:p w14:paraId="3070821B"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1.055.072 </w:t>
            </w:r>
          </w:p>
        </w:tc>
      </w:tr>
      <w:tr w:rsidR="00A95092" w:rsidRPr="00A95092" w14:paraId="03293CBF" w14:textId="77777777" w:rsidTr="00785CB2">
        <w:trPr>
          <w:trHeight w:val="402"/>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97CEAA2" w14:textId="77777777" w:rsidR="00A95092" w:rsidRPr="00A95092" w:rsidRDefault="00A95092" w:rsidP="00A95092">
            <w:pPr>
              <w:ind w:left="709"/>
              <w:rPr>
                <w:i/>
                <w:iCs/>
                <w:color w:val="000000"/>
                <w:sz w:val="16"/>
                <w:szCs w:val="16"/>
                <w:lang w:eastAsia="es-CO"/>
              </w:rPr>
            </w:pPr>
            <w:r w:rsidRPr="00A95092">
              <w:rPr>
                <w:i/>
                <w:iCs/>
                <w:color w:val="000000"/>
                <w:sz w:val="16"/>
                <w:szCs w:val="16"/>
                <w:lang w:eastAsia="es-CO"/>
              </w:rPr>
              <w:t xml:space="preserve"> Ramal Restrepo</w:t>
            </w:r>
          </w:p>
        </w:tc>
        <w:tc>
          <w:tcPr>
            <w:tcW w:w="1420" w:type="dxa"/>
            <w:tcBorders>
              <w:top w:val="nil"/>
              <w:left w:val="nil"/>
              <w:bottom w:val="single" w:sz="4" w:space="0" w:color="auto"/>
              <w:right w:val="single" w:sz="4" w:space="0" w:color="auto"/>
            </w:tcBorders>
            <w:shd w:val="clear" w:color="auto" w:fill="auto"/>
            <w:noWrap/>
            <w:vAlign w:val="bottom"/>
            <w:hideMark/>
          </w:tcPr>
          <w:p w14:paraId="18420B77"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1.876.650 </w:t>
            </w:r>
          </w:p>
        </w:tc>
        <w:tc>
          <w:tcPr>
            <w:tcW w:w="1420" w:type="dxa"/>
            <w:tcBorders>
              <w:top w:val="nil"/>
              <w:left w:val="nil"/>
              <w:bottom w:val="single" w:sz="4" w:space="0" w:color="auto"/>
              <w:right w:val="single" w:sz="4" w:space="0" w:color="auto"/>
            </w:tcBorders>
            <w:shd w:val="clear" w:color="auto" w:fill="auto"/>
            <w:noWrap/>
            <w:vAlign w:val="bottom"/>
            <w:hideMark/>
          </w:tcPr>
          <w:p w14:paraId="38BE9A10" w14:textId="77777777" w:rsidR="00A95092" w:rsidRPr="00A95092" w:rsidRDefault="00A95092" w:rsidP="00A95092">
            <w:pPr>
              <w:ind w:left="709"/>
              <w:jc w:val="right"/>
              <w:rPr>
                <w:i/>
                <w:iCs/>
                <w:color w:val="000000"/>
                <w:sz w:val="16"/>
                <w:szCs w:val="16"/>
                <w:lang w:eastAsia="es-CO"/>
              </w:rPr>
            </w:pPr>
            <w:r w:rsidRPr="00A95092">
              <w:rPr>
                <w:i/>
                <w:iCs/>
                <w:color w:val="000000"/>
                <w:sz w:val="16"/>
                <w:szCs w:val="16"/>
                <w:lang w:eastAsia="es-CO"/>
              </w:rPr>
              <w:t xml:space="preserve">       1.125.990 </w:t>
            </w:r>
          </w:p>
        </w:tc>
      </w:tr>
    </w:tbl>
    <w:p w14:paraId="4A230BD1" w14:textId="5108658D" w:rsidR="00A95092" w:rsidRPr="00A95092" w:rsidRDefault="00A95092" w:rsidP="00A95092">
      <w:pPr>
        <w:ind w:left="709" w:right="851" w:firstLine="706"/>
        <w:rPr>
          <w:rFonts w:cs="Arial"/>
          <w:i/>
          <w:iCs/>
          <w:sz w:val="16"/>
          <w:szCs w:val="16"/>
        </w:rPr>
      </w:pPr>
      <w:r w:rsidRPr="00A95092">
        <w:rPr>
          <w:rFonts w:cs="Arial"/>
          <w:i/>
          <w:iCs/>
          <w:sz w:val="16"/>
          <w:szCs w:val="16"/>
        </w:rPr>
        <w:t>Nota: Cifras en US $ de diciembre 31 de 2009</w:t>
      </w:r>
      <w:r>
        <w:rPr>
          <w:rFonts w:cs="Arial"/>
          <w:i/>
          <w:iCs/>
          <w:sz w:val="16"/>
          <w:szCs w:val="16"/>
        </w:rPr>
        <w:t>”</w:t>
      </w:r>
    </w:p>
    <w:p w14:paraId="69CD67C2" w14:textId="77777777" w:rsidR="00A95092" w:rsidRDefault="00A95092" w:rsidP="009A3DA9">
      <w:pPr>
        <w:spacing w:after="0"/>
        <w:jc w:val="both"/>
        <w:rPr>
          <w:rFonts w:eastAsia="Times New Roman" w:cs="Arial"/>
          <w:color w:val="000000" w:themeColor="text1"/>
          <w:spacing w:val="-3"/>
          <w:szCs w:val="24"/>
          <w:lang w:val="es-ES" w:eastAsia="es-ES"/>
        </w:rPr>
      </w:pPr>
    </w:p>
    <w:p w14:paraId="319B2C25" w14:textId="71F5403F" w:rsidR="00330F56" w:rsidRDefault="002B48C2"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La</w:t>
      </w:r>
      <w:r w:rsidR="00894258">
        <w:rPr>
          <w:rFonts w:eastAsia="Times New Roman" w:cs="Arial"/>
          <w:color w:val="000000" w:themeColor="text1"/>
          <w:spacing w:val="-3"/>
          <w:szCs w:val="24"/>
          <w:lang w:val="es-ES" w:eastAsia="es-ES"/>
        </w:rPr>
        <w:t xml:space="preserve"> Resolución CREG 085 de 2016 </w:t>
      </w:r>
      <w:r w:rsidR="0013405D">
        <w:rPr>
          <w:rFonts w:eastAsia="Times New Roman" w:cs="Arial"/>
          <w:color w:val="000000" w:themeColor="text1"/>
          <w:spacing w:val="-3"/>
          <w:szCs w:val="24"/>
          <w:lang w:val="es-ES" w:eastAsia="es-ES"/>
        </w:rPr>
        <w:t xml:space="preserve">fue recurrida mediante radicado </w:t>
      </w:r>
      <w:r w:rsidR="000701EA">
        <w:rPr>
          <w:rFonts w:eastAsia="Times New Roman" w:cs="Arial"/>
          <w:color w:val="000000" w:themeColor="text1"/>
          <w:spacing w:val="-3"/>
          <w:szCs w:val="24"/>
          <w:lang w:val="es-ES" w:eastAsia="es-ES"/>
        </w:rPr>
        <w:t xml:space="preserve">E-2016-008463 </w:t>
      </w:r>
      <w:r w:rsidR="00444A0D">
        <w:rPr>
          <w:rFonts w:eastAsia="Times New Roman" w:cs="Arial"/>
          <w:color w:val="000000" w:themeColor="text1"/>
          <w:spacing w:val="-3"/>
          <w:szCs w:val="24"/>
          <w:lang w:val="es-ES" w:eastAsia="es-ES"/>
        </w:rPr>
        <w:t>interpuesto por TGI</w:t>
      </w:r>
      <w:r>
        <w:rPr>
          <w:rFonts w:eastAsia="Times New Roman" w:cs="Arial"/>
          <w:color w:val="000000" w:themeColor="text1"/>
          <w:spacing w:val="-3"/>
          <w:szCs w:val="24"/>
          <w:lang w:val="es-ES" w:eastAsia="es-ES"/>
        </w:rPr>
        <w:t>, resuelto</w:t>
      </w:r>
      <w:r w:rsidR="00444A0D">
        <w:rPr>
          <w:rFonts w:eastAsia="Times New Roman" w:cs="Arial"/>
          <w:color w:val="000000" w:themeColor="text1"/>
          <w:spacing w:val="-3"/>
          <w:szCs w:val="24"/>
          <w:lang w:val="es-ES" w:eastAsia="es-ES"/>
        </w:rPr>
        <w:t xml:space="preserve"> mediante</w:t>
      </w:r>
      <w:r w:rsidR="0076119B">
        <w:rPr>
          <w:rFonts w:eastAsia="Times New Roman" w:cs="Arial"/>
          <w:color w:val="000000" w:themeColor="text1"/>
          <w:spacing w:val="-3"/>
          <w:szCs w:val="24"/>
          <w:lang w:val="es-ES" w:eastAsia="es-ES"/>
        </w:rPr>
        <w:t xml:space="preserve"> la</w:t>
      </w:r>
      <w:r w:rsidR="00444A0D">
        <w:rPr>
          <w:rFonts w:eastAsia="Times New Roman" w:cs="Arial"/>
          <w:color w:val="000000" w:themeColor="text1"/>
          <w:spacing w:val="-3"/>
          <w:szCs w:val="24"/>
          <w:lang w:val="es-ES" w:eastAsia="es-ES"/>
        </w:rPr>
        <w:t xml:space="preserve"> Resolución CREG 167 de 2016</w:t>
      </w:r>
      <w:r w:rsidR="00841EFD">
        <w:rPr>
          <w:rFonts w:eastAsia="Times New Roman" w:cs="Arial"/>
          <w:color w:val="000000" w:themeColor="text1"/>
          <w:spacing w:val="-3"/>
          <w:szCs w:val="24"/>
          <w:lang w:val="es-ES" w:eastAsia="es-ES"/>
        </w:rPr>
        <w:t>,</w:t>
      </w:r>
      <w:r w:rsidR="00444A0D">
        <w:rPr>
          <w:rFonts w:eastAsia="Times New Roman" w:cs="Arial"/>
          <w:color w:val="000000" w:themeColor="text1"/>
          <w:spacing w:val="-3"/>
          <w:szCs w:val="24"/>
          <w:lang w:val="es-ES" w:eastAsia="es-ES"/>
        </w:rPr>
        <w:t xml:space="preserve"> </w:t>
      </w:r>
      <w:r w:rsidR="00EB3D9F">
        <w:rPr>
          <w:rFonts w:eastAsia="Times New Roman" w:cs="Arial"/>
          <w:color w:val="000000" w:themeColor="text1"/>
          <w:spacing w:val="-3"/>
          <w:szCs w:val="24"/>
          <w:lang w:val="es-ES" w:eastAsia="es-ES"/>
        </w:rPr>
        <w:t>cuya decisión fue no reponer y confirmar en su integralidad la Resolución CREG 085 de 2016.</w:t>
      </w:r>
      <w:r w:rsidR="001541DF">
        <w:rPr>
          <w:rFonts w:eastAsia="Times New Roman" w:cs="Arial"/>
          <w:color w:val="000000" w:themeColor="text1"/>
          <w:spacing w:val="-3"/>
          <w:szCs w:val="24"/>
          <w:lang w:val="es-ES" w:eastAsia="es-ES"/>
        </w:rPr>
        <w:t xml:space="preserve"> </w:t>
      </w:r>
      <w:r w:rsidR="00D130EA">
        <w:rPr>
          <w:rFonts w:eastAsia="Times New Roman" w:cs="Arial"/>
          <w:color w:val="000000" w:themeColor="text1"/>
          <w:spacing w:val="-3"/>
          <w:szCs w:val="24"/>
          <w:lang w:val="es-ES" w:eastAsia="es-ES"/>
        </w:rPr>
        <w:t xml:space="preserve">Con base </w:t>
      </w:r>
      <w:r w:rsidR="001541DF">
        <w:rPr>
          <w:rFonts w:eastAsia="Times New Roman" w:cs="Arial"/>
          <w:color w:val="000000" w:themeColor="text1"/>
          <w:spacing w:val="-3"/>
          <w:szCs w:val="24"/>
          <w:lang w:val="es-ES" w:eastAsia="es-ES"/>
        </w:rPr>
        <w:t xml:space="preserve">en los valores aprobados, mediante </w:t>
      </w:r>
      <w:r w:rsidR="0060586D">
        <w:rPr>
          <w:rFonts w:eastAsia="Times New Roman" w:cs="Arial"/>
          <w:color w:val="000000" w:themeColor="text1"/>
          <w:spacing w:val="-3"/>
          <w:szCs w:val="24"/>
          <w:lang w:val="es-ES" w:eastAsia="es-ES"/>
        </w:rPr>
        <w:t>Radicado</w:t>
      </w:r>
      <w:r w:rsidR="00841EFD">
        <w:rPr>
          <w:rFonts w:eastAsia="Times New Roman" w:cs="Arial"/>
          <w:color w:val="000000" w:themeColor="text1"/>
          <w:spacing w:val="-3"/>
          <w:szCs w:val="24"/>
          <w:lang w:val="es-ES" w:eastAsia="es-ES"/>
        </w:rPr>
        <w:t xml:space="preserve"> CREG</w:t>
      </w:r>
      <w:r w:rsidR="0060586D">
        <w:rPr>
          <w:rFonts w:eastAsia="Times New Roman" w:cs="Arial"/>
          <w:color w:val="000000" w:themeColor="text1"/>
          <w:spacing w:val="-3"/>
          <w:szCs w:val="24"/>
          <w:lang w:val="es-ES" w:eastAsia="es-ES"/>
        </w:rPr>
        <w:t xml:space="preserve"> </w:t>
      </w:r>
      <w:r w:rsidR="00113B03" w:rsidRPr="00113B03">
        <w:rPr>
          <w:rFonts w:eastAsia="Times New Roman" w:cs="Arial"/>
          <w:color w:val="000000" w:themeColor="text1"/>
          <w:spacing w:val="-3"/>
          <w:szCs w:val="24"/>
          <w:lang w:val="es-ES" w:eastAsia="es-ES"/>
        </w:rPr>
        <w:t>E-2017-000298</w:t>
      </w:r>
      <w:r w:rsidR="00113B03">
        <w:rPr>
          <w:rFonts w:eastAsia="Times New Roman" w:cs="Arial"/>
          <w:color w:val="000000" w:themeColor="text1"/>
          <w:spacing w:val="-3"/>
          <w:szCs w:val="24"/>
          <w:lang w:val="es-ES" w:eastAsia="es-ES"/>
        </w:rPr>
        <w:t xml:space="preserve"> TGI inform</w:t>
      </w:r>
      <w:r w:rsidR="00D130EA">
        <w:rPr>
          <w:rFonts w:eastAsia="Times New Roman" w:cs="Arial"/>
          <w:color w:val="000000" w:themeColor="text1"/>
          <w:spacing w:val="-3"/>
          <w:szCs w:val="24"/>
          <w:lang w:val="es-ES" w:eastAsia="es-ES"/>
        </w:rPr>
        <w:t>ó</w:t>
      </w:r>
      <w:r w:rsidR="00113B03">
        <w:rPr>
          <w:rFonts w:eastAsia="Times New Roman" w:cs="Arial"/>
          <w:color w:val="000000" w:themeColor="text1"/>
          <w:spacing w:val="-3"/>
          <w:szCs w:val="24"/>
          <w:lang w:val="es-ES" w:eastAsia="es-ES"/>
        </w:rPr>
        <w:t xml:space="preserve"> la decisión tomada sobre la reposición de activos</w:t>
      </w:r>
      <w:r w:rsidR="00785CB2">
        <w:rPr>
          <w:rFonts w:eastAsia="Times New Roman" w:cs="Arial"/>
          <w:color w:val="000000" w:themeColor="text1"/>
          <w:spacing w:val="-3"/>
          <w:szCs w:val="24"/>
          <w:lang w:val="es-ES" w:eastAsia="es-ES"/>
        </w:rPr>
        <w:t>,</w:t>
      </w:r>
      <w:r w:rsidR="00971D5B">
        <w:rPr>
          <w:rFonts w:eastAsia="Times New Roman" w:cs="Arial"/>
          <w:color w:val="000000" w:themeColor="text1"/>
          <w:spacing w:val="-3"/>
          <w:szCs w:val="24"/>
          <w:lang w:val="es-ES" w:eastAsia="es-ES"/>
        </w:rPr>
        <w:t xml:space="preserve"> tal como se presenta en la siguiente tabla:</w:t>
      </w:r>
    </w:p>
    <w:p w14:paraId="61C89505" w14:textId="77777777" w:rsidR="008F15CE" w:rsidRDefault="008F15CE" w:rsidP="009A3DA9">
      <w:pPr>
        <w:spacing w:after="0"/>
        <w:jc w:val="both"/>
        <w:rPr>
          <w:rFonts w:eastAsia="Times New Roman" w:cs="Arial"/>
          <w:color w:val="000000" w:themeColor="text1"/>
          <w:spacing w:val="-3"/>
          <w:szCs w:val="24"/>
          <w:lang w:val="es-ES" w:eastAsia="es-ES"/>
        </w:rPr>
      </w:pPr>
    </w:p>
    <w:p w14:paraId="22BE72E1" w14:textId="4CC573B1" w:rsidR="008F15CE" w:rsidRDefault="008F15CE"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w:t>
      </w:r>
    </w:p>
    <w:p w14:paraId="65298690" w14:textId="77777777" w:rsidR="006C692D" w:rsidRDefault="00971D5B" w:rsidP="009A3DA9">
      <w:pPr>
        <w:spacing w:after="0"/>
        <w:jc w:val="both"/>
        <w:rPr>
          <w:rFonts w:eastAsia="Times New Roman" w:cs="Arial"/>
          <w:color w:val="000000" w:themeColor="text1"/>
          <w:spacing w:val="-3"/>
          <w:szCs w:val="24"/>
          <w:lang w:val="es-ES" w:eastAsia="es-ES"/>
        </w:rPr>
      </w:pPr>
      <w:r w:rsidRPr="00971D5B">
        <w:rPr>
          <w:rFonts w:eastAsia="Times New Roman" w:cs="Arial"/>
          <w:noProof/>
          <w:color w:val="000000" w:themeColor="text1"/>
          <w:spacing w:val="-3"/>
          <w:szCs w:val="24"/>
          <w:lang w:val="es-ES" w:eastAsia="es-ES"/>
        </w:rPr>
        <w:drawing>
          <wp:inline distT="0" distB="0" distL="0" distR="0" wp14:anchorId="71CAFF17" wp14:editId="3DC98F27">
            <wp:extent cx="5941060" cy="266954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669540"/>
                    </a:xfrm>
                    <a:prstGeom prst="rect">
                      <a:avLst/>
                    </a:prstGeom>
                  </pic:spPr>
                </pic:pic>
              </a:graphicData>
            </a:graphic>
          </wp:inline>
        </w:drawing>
      </w:r>
    </w:p>
    <w:p w14:paraId="21DCB68C" w14:textId="5FB5A94D" w:rsidR="00971D5B" w:rsidRDefault="008F15CE" w:rsidP="001A3546">
      <w:pPr>
        <w:spacing w:after="0"/>
        <w:ind w:left="8496" w:firstLine="708"/>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w:t>
      </w:r>
    </w:p>
    <w:p w14:paraId="4B11D734" w14:textId="79247F6D" w:rsidR="00165DFB" w:rsidRDefault="00425D15" w:rsidP="00440FCB">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Para ajustar los cargos</w:t>
      </w:r>
      <w:r w:rsidR="00291D76">
        <w:rPr>
          <w:rFonts w:eastAsia="Times New Roman" w:cs="Arial"/>
          <w:color w:val="000000" w:themeColor="text1"/>
          <w:spacing w:val="-3"/>
          <w:szCs w:val="24"/>
          <w:lang w:val="es-ES" w:eastAsia="es-ES"/>
        </w:rPr>
        <w:t>,</w:t>
      </w:r>
      <w:r>
        <w:rPr>
          <w:rFonts w:eastAsia="Times New Roman" w:cs="Arial"/>
          <w:color w:val="000000" w:themeColor="text1"/>
          <w:spacing w:val="-3"/>
          <w:szCs w:val="24"/>
          <w:lang w:val="es-ES" w:eastAsia="es-ES"/>
        </w:rPr>
        <w:t xml:space="preserve"> incluyendo los valores VRAN y sustituyendo los valores VAO de los ramales del sistema de TGI, se debe seguir el procedimiento descrito e</w:t>
      </w:r>
      <w:r w:rsidR="00607FDE">
        <w:rPr>
          <w:rFonts w:eastAsia="Times New Roman" w:cs="Arial"/>
          <w:color w:val="000000" w:themeColor="text1"/>
          <w:spacing w:val="-3"/>
          <w:szCs w:val="24"/>
          <w:lang w:val="es-ES" w:eastAsia="es-ES"/>
        </w:rPr>
        <w:t xml:space="preserve">n el parágrafo </w:t>
      </w:r>
      <w:r w:rsidR="0032262B">
        <w:rPr>
          <w:rFonts w:eastAsia="Times New Roman" w:cs="Arial"/>
          <w:color w:val="000000" w:themeColor="text1"/>
          <w:spacing w:val="-3"/>
          <w:szCs w:val="24"/>
          <w:lang w:val="es-ES" w:eastAsia="es-ES"/>
        </w:rPr>
        <w:t xml:space="preserve">2 </w:t>
      </w:r>
      <w:r w:rsidR="00607FDE">
        <w:rPr>
          <w:rFonts w:eastAsia="Times New Roman" w:cs="Arial"/>
          <w:color w:val="000000" w:themeColor="text1"/>
          <w:spacing w:val="-3"/>
          <w:szCs w:val="24"/>
          <w:lang w:val="es-ES" w:eastAsia="es-ES"/>
        </w:rPr>
        <w:t xml:space="preserve">del artículo </w:t>
      </w:r>
      <w:r w:rsidR="00CF7959">
        <w:rPr>
          <w:rFonts w:eastAsia="Times New Roman" w:cs="Arial"/>
          <w:color w:val="000000" w:themeColor="text1"/>
          <w:spacing w:val="-3"/>
          <w:szCs w:val="24"/>
          <w:lang w:val="es-ES" w:eastAsia="es-ES"/>
        </w:rPr>
        <w:t>6</w:t>
      </w:r>
      <w:r w:rsidR="00607FDE">
        <w:rPr>
          <w:rFonts w:eastAsia="Times New Roman" w:cs="Arial"/>
          <w:color w:val="000000" w:themeColor="text1"/>
          <w:spacing w:val="-3"/>
          <w:szCs w:val="24"/>
          <w:lang w:val="es-ES" w:eastAsia="es-ES"/>
        </w:rPr>
        <w:t xml:space="preserve"> de la Resoluci</w:t>
      </w:r>
      <w:r w:rsidR="00CF7959">
        <w:rPr>
          <w:rFonts w:eastAsia="Times New Roman" w:cs="Arial"/>
          <w:color w:val="000000" w:themeColor="text1"/>
          <w:spacing w:val="-3"/>
          <w:szCs w:val="24"/>
          <w:lang w:val="es-ES" w:eastAsia="es-ES"/>
        </w:rPr>
        <w:t>ón</w:t>
      </w:r>
      <w:r w:rsidR="00607FDE">
        <w:rPr>
          <w:rFonts w:eastAsia="Times New Roman" w:cs="Arial"/>
          <w:color w:val="000000" w:themeColor="text1"/>
          <w:spacing w:val="-3"/>
          <w:szCs w:val="24"/>
          <w:lang w:val="es-ES" w:eastAsia="es-ES"/>
        </w:rPr>
        <w:t xml:space="preserve"> CREG 162 de 2015</w:t>
      </w:r>
      <w:r w:rsidR="00785CB2">
        <w:rPr>
          <w:rFonts w:eastAsia="Times New Roman" w:cs="Arial"/>
          <w:color w:val="000000" w:themeColor="text1"/>
          <w:spacing w:val="-3"/>
          <w:szCs w:val="24"/>
          <w:lang w:val="es-ES" w:eastAsia="es-ES"/>
        </w:rPr>
        <w:t>,</w:t>
      </w:r>
      <w:r w:rsidR="00607FDE">
        <w:rPr>
          <w:rFonts w:eastAsia="Times New Roman" w:cs="Arial"/>
          <w:color w:val="000000" w:themeColor="text1"/>
          <w:spacing w:val="-3"/>
          <w:szCs w:val="24"/>
          <w:lang w:val="es-ES" w:eastAsia="es-ES"/>
        </w:rPr>
        <w:t xml:space="preserve"> y</w:t>
      </w:r>
      <w:r w:rsidR="00CF7959">
        <w:rPr>
          <w:rFonts w:eastAsia="Times New Roman" w:cs="Arial"/>
          <w:color w:val="000000" w:themeColor="text1"/>
          <w:spacing w:val="-3"/>
          <w:szCs w:val="24"/>
          <w:lang w:val="es-ES" w:eastAsia="es-ES"/>
        </w:rPr>
        <w:t xml:space="preserve"> en el parágrafo 2 del artículo 2 de la Resolución CREG</w:t>
      </w:r>
      <w:r w:rsidR="00607FDE">
        <w:rPr>
          <w:rFonts w:eastAsia="Times New Roman" w:cs="Arial"/>
          <w:color w:val="000000" w:themeColor="text1"/>
          <w:spacing w:val="-3"/>
          <w:szCs w:val="24"/>
          <w:lang w:val="es-ES" w:eastAsia="es-ES"/>
        </w:rPr>
        <w:t xml:space="preserve"> </w:t>
      </w:r>
      <w:r w:rsidR="00D179E4">
        <w:rPr>
          <w:rFonts w:eastAsia="Times New Roman" w:cs="Arial"/>
          <w:color w:val="000000" w:themeColor="text1"/>
          <w:spacing w:val="-3"/>
          <w:szCs w:val="24"/>
          <w:lang w:val="es-ES" w:eastAsia="es-ES"/>
        </w:rPr>
        <w:t xml:space="preserve">085 </w:t>
      </w:r>
      <w:r w:rsidR="00607FDE">
        <w:rPr>
          <w:rFonts w:eastAsia="Times New Roman" w:cs="Arial"/>
          <w:color w:val="000000" w:themeColor="text1"/>
          <w:spacing w:val="-3"/>
          <w:szCs w:val="24"/>
          <w:lang w:val="es-ES" w:eastAsia="es-ES"/>
        </w:rPr>
        <w:t>de 2016</w:t>
      </w:r>
      <w:r>
        <w:rPr>
          <w:rFonts w:eastAsia="Times New Roman" w:cs="Arial"/>
          <w:color w:val="000000" w:themeColor="text1"/>
          <w:spacing w:val="-3"/>
          <w:szCs w:val="24"/>
          <w:lang w:val="es-ES" w:eastAsia="es-ES"/>
        </w:rPr>
        <w:t>, el</w:t>
      </w:r>
      <w:r w:rsidR="005A4FC0">
        <w:rPr>
          <w:rFonts w:eastAsia="Times New Roman" w:cs="Arial"/>
          <w:color w:val="000000" w:themeColor="text1"/>
          <w:spacing w:val="-3"/>
          <w:szCs w:val="24"/>
          <w:lang w:val="es-ES" w:eastAsia="es-ES"/>
        </w:rPr>
        <w:t xml:space="preserve"> cual señala lo siguiente</w:t>
      </w:r>
      <w:r w:rsidR="00607FDE">
        <w:rPr>
          <w:rFonts w:eastAsia="Times New Roman" w:cs="Arial"/>
          <w:color w:val="000000" w:themeColor="text1"/>
          <w:spacing w:val="-3"/>
          <w:szCs w:val="24"/>
          <w:lang w:val="es-ES" w:eastAsia="es-ES"/>
        </w:rPr>
        <w:t>:</w:t>
      </w:r>
    </w:p>
    <w:p w14:paraId="584295D7" w14:textId="77777777" w:rsidR="00824EEE" w:rsidRDefault="00824EEE" w:rsidP="00785CB2">
      <w:pPr>
        <w:spacing w:after="0"/>
        <w:ind w:left="284"/>
        <w:jc w:val="both"/>
        <w:rPr>
          <w:rFonts w:eastAsia="Times New Roman" w:cs="Arial"/>
          <w:i/>
          <w:iCs/>
          <w:color w:val="000000" w:themeColor="text1"/>
          <w:spacing w:val="-3"/>
          <w:szCs w:val="24"/>
          <w:lang w:eastAsia="es-ES"/>
        </w:rPr>
      </w:pPr>
    </w:p>
    <w:p w14:paraId="6C462527" w14:textId="65FA8EBB" w:rsidR="002205A8" w:rsidRDefault="002205A8" w:rsidP="00785CB2">
      <w:pPr>
        <w:spacing w:after="0"/>
        <w:ind w:left="284"/>
        <w:jc w:val="both"/>
        <w:rPr>
          <w:rFonts w:eastAsia="Times New Roman" w:cs="Arial"/>
          <w:color w:val="000000" w:themeColor="text1"/>
          <w:spacing w:val="-3"/>
          <w:szCs w:val="24"/>
          <w:lang w:val="es-ES" w:eastAsia="es-ES"/>
        </w:rPr>
      </w:pPr>
      <w:r>
        <w:rPr>
          <w:rFonts w:eastAsia="Times New Roman" w:cs="Arial"/>
          <w:i/>
          <w:iCs/>
          <w:color w:val="000000" w:themeColor="text1"/>
          <w:spacing w:val="-3"/>
          <w:szCs w:val="24"/>
          <w:lang w:eastAsia="es-ES"/>
        </w:rPr>
        <w:lastRenderedPageBreak/>
        <w:t>“</w:t>
      </w:r>
      <w:r w:rsidRPr="001A3546">
        <w:rPr>
          <w:rFonts w:eastAsia="Times New Roman" w:cs="Arial"/>
          <w:i/>
          <w:color w:val="000000" w:themeColor="text1"/>
          <w:spacing w:val="-3"/>
          <w:szCs w:val="24"/>
          <w:lang w:eastAsia="es-ES"/>
        </w:rPr>
        <w:t>PARÁGRAFO 2</w:t>
      </w:r>
      <w:r w:rsidR="00B42997">
        <w:rPr>
          <w:rFonts w:eastAsia="Times New Roman" w:cs="Arial"/>
          <w:i/>
          <w:iCs/>
          <w:color w:val="000000" w:themeColor="text1"/>
          <w:spacing w:val="-3"/>
          <w:szCs w:val="24"/>
          <w:lang w:eastAsia="es-ES"/>
        </w:rPr>
        <w:t>º</w:t>
      </w:r>
      <w:r w:rsidRPr="001A3546">
        <w:rPr>
          <w:rFonts w:eastAsia="Times New Roman" w:cs="Arial"/>
          <w:i/>
          <w:color w:val="000000" w:themeColor="text1"/>
          <w:spacing w:val="-3"/>
          <w:szCs w:val="24"/>
          <w:lang w:eastAsia="es-ES"/>
        </w:rPr>
        <w:t>. Cuando i) dentro del plazo máximo de tres (3) años TGI S. A. E.S.P. reemplace y ponga en operación uno o varios de los gasoductos señalados en el artículo</w:t>
      </w:r>
      <w:r w:rsidR="00B42997">
        <w:rPr>
          <w:rFonts w:eastAsia="Times New Roman" w:cs="Arial"/>
          <w:i/>
          <w:iCs/>
          <w:color w:val="000000" w:themeColor="text1"/>
          <w:spacing w:val="-3"/>
          <w:szCs w:val="24"/>
          <w:lang w:eastAsia="es-ES"/>
        </w:rPr>
        <w:t xml:space="preserve"> 1</w:t>
      </w:r>
      <w:r w:rsidR="00D71101">
        <w:rPr>
          <w:rFonts w:eastAsia="Times New Roman" w:cs="Arial"/>
          <w:i/>
          <w:iCs/>
          <w:color w:val="000000" w:themeColor="text1"/>
          <w:spacing w:val="-3"/>
          <w:szCs w:val="24"/>
          <w:lang w:eastAsia="es-ES"/>
        </w:rPr>
        <w:t>o</w:t>
      </w:r>
      <w:r w:rsidRPr="001A3546">
        <w:rPr>
          <w:rFonts w:eastAsia="Times New Roman" w:cs="Arial"/>
          <w:i/>
          <w:color w:val="000000" w:themeColor="text1"/>
          <w:spacing w:val="-3"/>
          <w:szCs w:val="24"/>
          <w:lang w:eastAsia="es-ES"/>
        </w:rPr>
        <w:t xml:space="preserve"> de esta resolución; </w:t>
      </w:r>
      <w:proofErr w:type="spellStart"/>
      <w:r w:rsidRPr="001A3546">
        <w:rPr>
          <w:rFonts w:eastAsia="Times New Roman" w:cs="Arial"/>
          <w:i/>
          <w:color w:val="000000" w:themeColor="text1"/>
          <w:spacing w:val="-3"/>
          <w:szCs w:val="24"/>
          <w:lang w:eastAsia="es-ES"/>
        </w:rPr>
        <w:t>ii</w:t>
      </w:r>
      <w:proofErr w:type="spellEnd"/>
      <w:r w:rsidRPr="001A3546">
        <w:rPr>
          <w:rFonts w:eastAsia="Times New Roman" w:cs="Arial"/>
          <w:i/>
          <w:color w:val="000000" w:themeColor="text1"/>
          <w:spacing w:val="-3"/>
          <w:szCs w:val="24"/>
          <w:lang w:eastAsia="es-ES"/>
        </w:rPr>
        <w:t>) la Superintendencia de Servicios Públicos Domiciliarios, en ejercicio de sus funciones de inspección y vigilancia previstas en el artículo</w:t>
      </w:r>
      <w:r w:rsidR="00D71101">
        <w:rPr>
          <w:rFonts w:eastAsia="Times New Roman" w:cs="Arial"/>
          <w:i/>
          <w:iCs/>
          <w:color w:val="000000" w:themeColor="text1"/>
          <w:spacing w:val="-3"/>
          <w:szCs w:val="24"/>
          <w:lang w:eastAsia="es-ES"/>
        </w:rPr>
        <w:t xml:space="preserve"> 79</w:t>
      </w:r>
      <w:r w:rsidRPr="001A3546">
        <w:rPr>
          <w:rFonts w:eastAsia="Times New Roman" w:cs="Arial"/>
          <w:i/>
          <w:color w:val="000000" w:themeColor="text1"/>
          <w:spacing w:val="-3"/>
          <w:szCs w:val="24"/>
          <w:lang w:eastAsia="es-ES"/>
        </w:rPr>
        <w:t xml:space="preserve"> de la Ley 142 de 1994, confirme a la CREG que el activo fue repuesto en su totalidad y que entró en operación en el plazo previsto; y </w:t>
      </w:r>
      <w:proofErr w:type="spellStart"/>
      <w:r w:rsidRPr="001A3546">
        <w:rPr>
          <w:rFonts w:eastAsia="Times New Roman" w:cs="Arial"/>
          <w:i/>
          <w:color w:val="000000" w:themeColor="text1"/>
          <w:spacing w:val="-3"/>
          <w:szCs w:val="24"/>
          <w:lang w:eastAsia="es-ES"/>
        </w:rPr>
        <w:t>iii</w:t>
      </w:r>
      <w:proofErr w:type="spellEnd"/>
      <w:r w:rsidRPr="001A3546">
        <w:rPr>
          <w:rFonts w:eastAsia="Times New Roman" w:cs="Arial"/>
          <w:i/>
          <w:color w:val="000000" w:themeColor="text1"/>
          <w:spacing w:val="-3"/>
          <w:szCs w:val="24"/>
          <w:lang w:eastAsia="es-ES"/>
        </w:rPr>
        <w:t xml:space="preserve">) TGI S. A. E.S.P. solicite el ajuste en los cargos regulados, en dichos cargos los valores VRAN reemplazarán los valores </w:t>
      </w:r>
      <w:proofErr w:type="spellStart"/>
      <w:r w:rsidRPr="001A3546">
        <w:rPr>
          <w:rFonts w:eastAsia="Times New Roman" w:cs="Arial"/>
          <w:i/>
          <w:color w:val="000000" w:themeColor="text1"/>
          <w:spacing w:val="-3"/>
          <w:szCs w:val="24"/>
          <w:lang w:eastAsia="es-ES"/>
        </w:rPr>
        <w:t>VAO</w:t>
      </w:r>
      <w:r w:rsidRPr="001A3546">
        <w:rPr>
          <w:rFonts w:eastAsia="Times New Roman" w:cs="Arial"/>
          <w:i/>
          <w:color w:val="000000" w:themeColor="text1"/>
          <w:spacing w:val="-3"/>
          <w:szCs w:val="24"/>
          <w:vertAlign w:val="subscript"/>
          <w:lang w:eastAsia="es-ES"/>
        </w:rPr>
        <w:t>t</w:t>
      </w:r>
      <w:proofErr w:type="spellEnd"/>
      <w:r w:rsidRPr="001A3546">
        <w:rPr>
          <w:rFonts w:eastAsia="Times New Roman" w:cs="Arial"/>
          <w:i/>
          <w:color w:val="000000" w:themeColor="text1"/>
          <w:spacing w:val="-3"/>
          <w:szCs w:val="24"/>
          <w:vertAlign w:val="subscript"/>
          <w:lang w:eastAsia="es-ES"/>
        </w:rPr>
        <w:t> </w:t>
      </w:r>
      <w:r w:rsidRPr="001A3546">
        <w:rPr>
          <w:rFonts w:eastAsia="Times New Roman" w:cs="Arial"/>
          <w:i/>
          <w:color w:val="000000" w:themeColor="text1"/>
          <w:spacing w:val="-3"/>
          <w:szCs w:val="24"/>
          <w:lang w:eastAsia="es-ES"/>
        </w:rPr>
        <w:t>según corresponda.</w:t>
      </w:r>
      <w:r>
        <w:rPr>
          <w:rFonts w:eastAsia="Times New Roman" w:cs="Arial"/>
          <w:i/>
          <w:iCs/>
          <w:color w:val="000000" w:themeColor="text1"/>
          <w:spacing w:val="-3"/>
          <w:szCs w:val="24"/>
          <w:lang w:eastAsia="es-ES"/>
        </w:rPr>
        <w:t>”</w:t>
      </w:r>
    </w:p>
    <w:p w14:paraId="0C155C84" w14:textId="77777777" w:rsidR="002205A8" w:rsidRDefault="002205A8" w:rsidP="002205A8">
      <w:pPr>
        <w:spacing w:after="0"/>
        <w:jc w:val="both"/>
        <w:rPr>
          <w:rFonts w:eastAsia="Times New Roman" w:cs="Arial"/>
          <w:color w:val="000000" w:themeColor="text1"/>
          <w:spacing w:val="-3"/>
          <w:szCs w:val="24"/>
          <w:lang w:val="es-ES" w:eastAsia="es-ES"/>
        </w:rPr>
      </w:pPr>
    </w:p>
    <w:p w14:paraId="4E32CE19" w14:textId="00DA0334" w:rsidR="00440FCB" w:rsidRDefault="006C692D" w:rsidP="002205A8">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w:t>
      </w:r>
      <w:r w:rsidR="00440FCB">
        <w:rPr>
          <w:rFonts w:eastAsia="Times New Roman" w:cs="Arial"/>
          <w:color w:val="000000" w:themeColor="text1"/>
          <w:spacing w:val="-3"/>
          <w:szCs w:val="24"/>
          <w:lang w:val="es-ES" w:eastAsia="es-ES"/>
        </w:rPr>
        <w:t xml:space="preserve">ediante </w:t>
      </w:r>
      <w:r>
        <w:rPr>
          <w:rFonts w:eastAsia="Times New Roman" w:cs="Arial"/>
          <w:color w:val="000000" w:themeColor="text1"/>
          <w:spacing w:val="-3"/>
          <w:szCs w:val="24"/>
          <w:lang w:val="es-ES" w:eastAsia="es-ES"/>
        </w:rPr>
        <w:t xml:space="preserve">el </w:t>
      </w:r>
      <w:r w:rsidR="00440FCB">
        <w:rPr>
          <w:rFonts w:eastAsia="Times New Roman" w:cs="Arial"/>
          <w:color w:val="000000" w:themeColor="text1"/>
          <w:spacing w:val="-3"/>
          <w:szCs w:val="24"/>
          <w:lang w:val="es-ES" w:eastAsia="es-ES"/>
        </w:rPr>
        <w:t>radicado</w:t>
      </w:r>
      <w:r>
        <w:rPr>
          <w:rFonts w:eastAsia="Times New Roman" w:cs="Arial"/>
          <w:color w:val="000000" w:themeColor="text1"/>
          <w:spacing w:val="-3"/>
          <w:szCs w:val="24"/>
          <w:lang w:val="es-ES" w:eastAsia="es-ES"/>
        </w:rPr>
        <w:t xml:space="preserve"> CREG</w:t>
      </w:r>
      <w:r w:rsidR="00440FCB">
        <w:rPr>
          <w:rFonts w:eastAsia="Times New Roman" w:cs="Arial"/>
          <w:color w:val="000000" w:themeColor="text1"/>
          <w:spacing w:val="-3"/>
          <w:szCs w:val="24"/>
          <w:lang w:val="es-ES" w:eastAsia="es-ES"/>
        </w:rPr>
        <w:t xml:space="preserve"> </w:t>
      </w:r>
      <w:r w:rsidR="00412F60" w:rsidRPr="00412F60">
        <w:rPr>
          <w:rFonts w:eastAsia="Times New Roman" w:cs="Arial"/>
          <w:color w:val="000000" w:themeColor="text1"/>
          <w:spacing w:val="-3"/>
          <w:szCs w:val="24"/>
          <w:lang w:val="es-ES" w:eastAsia="es-ES"/>
        </w:rPr>
        <w:t>E-2018-013794</w:t>
      </w:r>
      <w:r w:rsidR="00785CB2">
        <w:rPr>
          <w:rFonts w:eastAsia="Times New Roman" w:cs="Arial"/>
          <w:color w:val="000000" w:themeColor="text1"/>
          <w:spacing w:val="-3"/>
          <w:szCs w:val="24"/>
          <w:lang w:val="es-ES" w:eastAsia="es-ES"/>
        </w:rPr>
        <w:t>,</w:t>
      </w:r>
      <w:r w:rsidR="00856F0C">
        <w:rPr>
          <w:rFonts w:eastAsia="Times New Roman" w:cs="Arial"/>
          <w:color w:val="000000" w:themeColor="text1"/>
          <w:spacing w:val="-3"/>
          <w:szCs w:val="24"/>
          <w:lang w:val="es-ES" w:eastAsia="es-ES"/>
        </w:rPr>
        <w:t xml:space="preserve"> TGI</w:t>
      </w:r>
      <w:r w:rsidR="00412F60">
        <w:rPr>
          <w:rFonts w:eastAsia="Times New Roman" w:cs="Arial"/>
          <w:color w:val="000000" w:themeColor="text1"/>
          <w:spacing w:val="-3"/>
          <w:szCs w:val="24"/>
          <w:lang w:val="es-ES" w:eastAsia="es-ES"/>
        </w:rPr>
        <w:t xml:space="preserve"> solicit</w:t>
      </w:r>
      <w:r w:rsidR="00856F0C">
        <w:rPr>
          <w:rFonts w:eastAsia="Times New Roman" w:cs="Arial"/>
          <w:color w:val="000000" w:themeColor="text1"/>
          <w:spacing w:val="-3"/>
          <w:szCs w:val="24"/>
          <w:lang w:val="es-ES" w:eastAsia="es-ES"/>
        </w:rPr>
        <w:t>ó</w:t>
      </w:r>
      <w:r w:rsidR="00412F60">
        <w:rPr>
          <w:rFonts w:eastAsia="Times New Roman" w:cs="Arial"/>
          <w:color w:val="000000" w:themeColor="text1"/>
          <w:spacing w:val="-3"/>
          <w:szCs w:val="24"/>
          <w:lang w:val="es-ES" w:eastAsia="es-ES"/>
        </w:rPr>
        <w:t xml:space="preserve"> una </w:t>
      </w:r>
      <w:r w:rsidR="00296E63">
        <w:rPr>
          <w:rFonts w:eastAsia="Times New Roman" w:cs="Arial"/>
          <w:color w:val="000000" w:themeColor="text1"/>
          <w:spacing w:val="-3"/>
          <w:szCs w:val="24"/>
          <w:lang w:val="es-ES" w:eastAsia="es-ES"/>
        </w:rPr>
        <w:t>prórroga</w:t>
      </w:r>
      <w:r w:rsidR="00412F60">
        <w:rPr>
          <w:rFonts w:eastAsia="Times New Roman" w:cs="Arial"/>
          <w:color w:val="000000" w:themeColor="text1"/>
          <w:spacing w:val="-3"/>
          <w:szCs w:val="24"/>
          <w:lang w:val="es-ES" w:eastAsia="es-ES"/>
        </w:rPr>
        <w:t xml:space="preserve"> para la </w:t>
      </w:r>
      <w:r w:rsidR="00714B81">
        <w:rPr>
          <w:rFonts w:eastAsia="Times New Roman" w:cs="Arial"/>
          <w:color w:val="000000" w:themeColor="text1"/>
          <w:spacing w:val="-3"/>
          <w:szCs w:val="24"/>
          <w:lang w:val="es-ES" w:eastAsia="es-ES"/>
        </w:rPr>
        <w:t>entrada</w:t>
      </w:r>
      <w:r w:rsidR="00412F60">
        <w:rPr>
          <w:rFonts w:eastAsia="Times New Roman" w:cs="Arial"/>
          <w:color w:val="000000" w:themeColor="text1"/>
          <w:spacing w:val="-3"/>
          <w:szCs w:val="24"/>
          <w:lang w:val="es-ES" w:eastAsia="es-ES"/>
        </w:rPr>
        <w:t xml:space="preserve"> en operación de los </w:t>
      </w:r>
      <w:r w:rsidR="00412F60" w:rsidRPr="00440FCB">
        <w:rPr>
          <w:rFonts w:eastAsia="Times New Roman" w:cs="Arial"/>
          <w:color w:val="000000" w:themeColor="text1"/>
          <w:spacing w:val="-3"/>
          <w:szCs w:val="24"/>
          <w:lang w:val="es-ES" w:eastAsia="es-ES"/>
        </w:rPr>
        <w:t xml:space="preserve">ramales </w:t>
      </w:r>
      <w:proofErr w:type="spellStart"/>
      <w:r w:rsidR="00412F60" w:rsidRPr="00440FCB">
        <w:rPr>
          <w:rFonts w:eastAsia="Times New Roman" w:cs="Arial"/>
          <w:color w:val="000000" w:themeColor="text1"/>
          <w:spacing w:val="-3"/>
          <w:szCs w:val="24"/>
          <w:lang w:val="es-ES" w:eastAsia="es-ES"/>
        </w:rPr>
        <w:t>Yariguíes</w:t>
      </w:r>
      <w:proofErr w:type="spellEnd"/>
      <w:r w:rsidR="00412F60" w:rsidRPr="00440FCB">
        <w:rPr>
          <w:rFonts w:eastAsia="Times New Roman" w:cs="Arial"/>
          <w:color w:val="000000" w:themeColor="text1"/>
          <w:spacing w:val="-3"/>
          <w:szCs w:val="24"/>
          <w:lang w:val="es-ES" w:eastAsia="es-ES"/>
        </w:rPr>
        <w:t xml:space="preserve"> - Puerto Wilches, Zona Industrial Cantagallo - Cantagallo y Cantagallo - San Pablo,</w:t>
      </w:r>
      <w:r w:rsidR="00856F0C">
        <w:rPr>
          <w:rFonts w:eastAsia="Times New Roman" w:cs="Arial"/>
          <w:color w:val="000000" w:themeColor="text1"/>
          <w:spacing w:val="-3"/>
          <w:szCs w:val="24"/>
          <w:lang w:val="es-ES" w:eastAsia="es-ES"/>
        </w:rPr>
        <w:t xml:space="preserve"> en los </w:t>
      </w:r>
      <w:r w:rsidR="003965C2">
        <w:rPr>
          <w:rFonts w:eastAsia="Times New Roman" w:cs="Arial"/>
          <w:color w:val="000000" w:themeColor="text1"/>
          <w:spacing w:val="-3"/>
          <w:szCs w:val="24"/>
          <w:lang w:val="es-ES" w:eastAsia="es-ES"/>
        </w:rPr>
        <w:t>siguientes términos:</w:t>
      </w:r>
    </w:p>
    <w:p w14:paraId="1964E725" w14:textId="77777777" w:rsidR="005122E6" w:rsidRPr="00440FCB" w:rsidRDefault="005122E6" w:rsidP="00440FCB">
      <w:pPr>
        <w:spacing w:after="0"/>
        <w:jc w:val="both"/>
        <w:rPr>
          <w:rFonts w:eastAsia="Times New Roman" w:cs="Arial"/>
          <w:color w:val="000000" w:themeColor="text1"/>
          <w:spacing w:val="-3"/>
          <w:szCs w:val="24"/>
          <w:lang w:val="es-ES" w:eastAsia="es-ES"/>
        </w:rPr>
      </w:pPr>
    </w:p>
    <w:p w14:paraId="10FCA686" w14:textId="77777777" w:rsidR="005122E6" w:rsidRDefault="005122E6" w:rsidP="00785CB2">
      <w:pPr>
        <w:pStyle w:val="Cita"/>
        <w:ind w:right="284"/>
        <w:rPr>
          <w:lang w:val="es-ES_tradnl" w:eastAsia="es-MX"/>
        </w:rPr>
      </w:pPr>
      <w:r>
        <w:rPr>
          <w:lang w:val="es-ES_tradnl" w:eastAsia="es-MX"/>
        </w:rPr>
        <w:t>(…)</w:t>
      </w:r>
    </w:p>
    <w:p w14:paraId="0E196F13" w14:textId="368B16F6" w:rsidR="00440FCB" w:rsidRDefault="00440FCB" w:rsidP="00785CB2">
      <w:pPr>
        <w:pStyle w:val="Cita"/>
        <w:ind w:right="284"/>
        <w:rPr>
          <w:lang w:val="es-ES_tradnl" w:eastAsia="es-MX"/>
        </w:rPr>
      </w:pPr>
      <w:r w:rsidRPr="00412F60">
        <w:rPr>
          <w:lang w:val="es-ES_tradnl" w:eastAsia="es-MX"/>
        </w:rPr>
        <w:t xml:space="preserve">El motivo de la presente es solicitarle una prórroga de cinco (5) meses a partir del 29 de abril de 2019, para la entrada en operación de los ramales </w:t>
      </w:r>
      <w:proofErr w:type="spellStart"/>
      <w:r w:rsidRPr="00412F60">
        <w:rPr>
          <w:lang w:val="es-ES_tradnl" w:eastAsia="es-MX"/>
        </w:rPr>
        <w:t>Yariguíes</w:t>
      </w:r>
      <w:proofErr w:type="spellEnd"/>
      <w:r w:rsidRPr="00412F60">
        <w:rPr>
          <w:lang w:val="es-ES_tradnl" w:eastAsia="es-MX"/>
        </w:rPr>
        <w:t xml:space="preserve"> - Puerto Wilches, Zona Industrial Cantagallo - Cantagallo y Cantagallo - San Pablo, teniendo en cuenta las siguientes consideraciones:</w:t>
      </w:r>
    </w:p>
    <w:p w14:paraId="47C6B9A6" w14:textId="134DF033" w:rsidR="00412F60" w:rsidRDefault="00412F60" w:rsidP="00785CB2">
      <w:pPr>
        <w:pStyle w:val="Cita"/>
        <w:ind w:right="284"/>
        <w:rPr>
          <w:sz w:val="20"/>
          <w:lang w:val="es-ES_tradnl" w:eastAsia="es-MX"/>
        </w:rPr>
      </w:pPr>
      <w:r w:rsidRPr="00412F60">
        <w:rPr>
          <w:sz w:val="20"/>
          <w:lang w:val="es-ES_tradnl" w:eastAsia="es-MX"/>
        </w:rPr>
        <w:t>(…)</w:t>
      </w:r>
    </w:p>
    <w:p w14:paraId="43542F7C" w14:textId="3CD6D661" w:rsidR="001502B2" w:rsidRPr="001502B2" w:rsidRDefault="001502B2" w:rsidP="00785CB2">
      <w:pPr>
        <w:pStyle w:val="Cita"/>
        <w:ind w:right="284"/>
        <w:rPr>
          <w:lang w:val="es-ES_tradnl" w:eastAsia="es-MX"/>
        </w:rPr>
      </w:pPr>
      <w:r w:rsidRPr="001502B2">
        <w:rPr>
          <w:lang w:val="es-ES_tradnl" w:eastAsia="es-MX"/>
        </w:rPr>
        <w:t xml:space="preserve">aun cuando para la construcción de los citados ramales no se requiere del trámite de licenciamiento ambiental, por tratarse de gasoductos con diámetros inferiores a 6 pulgadas, se requiere por norma1•2 obtener y previo al inicio de las obras, por parte de las autoridades ambientales nacionales y regionales, los permisos y autorizaciones para el aprovechamiento de los recursos naturales; trámites que han dilatado el inicio de las actividades constructivas debido a los retrasos en la evaluación por parte de estas instancias </w:t>
      </w:r>
      <w:r w:rsidR="00296E63">
        <w:rPr>
          <w:lang w:val="es-ES_tradnl" w:eastAsia="es-MX"/>
        </w:rPr>
        <w:t>(…)</w:t>
      </w:r>
    </w:p>
    <w:p w14:paraId="1EBCD720" w14:textId="77777777" w:rsidR="00D61CBD" w:rsidRDefault="00D61CBD" w:rsidP="009A3DA9">
      <w:pPr>
        <w:spacing w:after="0"/>
        <w:jc w:val="both"/>
        <w:rPr>
          <w:rFonts w:eastAsia="Times New Roman" w:cs="Arial"/>
          <w:color w:val="000000" w:themeColor="text1"/>
          <w:spacing w:val="-3"/>
          <w:szCs w:val="24"/>
          <w:lang w:val="es-ES" w:eastAsia="es-ES"/>
        </w:rPr>
      </w:pPr>
    </w:p>
    <w:p w14:paraId="27E0FD05" w14:textId="45AEAD71" w:rsidR="0066316D" w:rsidRDefault="003965C2" w:rsidP="009A3DA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w:t>
      </w:r>
      <w:r w:rsidR="0066316D">
        <w:rPr>
          <w:rFonts w:eastAsia="Times New Roman" w:cs="Arial"/>
          <w:color w:val="000000" w:themeColor="text1"/>
          <w:spacing w:val="-3"/>
          <w:szCs w:val="24"/>
          <w:lang w:val="es-ES" w:eastAsia="es-ES"/>
        </w:rPr>
        <w:t>ediante</w:t>
      </w:r>
      <w:r>
        <w:rPr>
          <w:rFonts w:eastAsia="Times New Roman" w:cs="Arial"/>
          <w:color w:val="000000" w:themeColor="text1"/>
          <w:spacing w:val="-3"/>
          <w:szCs w:val="24"/>
          <w:lang w:val="es-ES" w:eastAsia="es-ES"/>
        </w:rPr>
        <w:t xml:space="preserve"> el</w:t>
      </w:r>
      <w:r w:rsidR="0066316D">
        <w:rPr>
          <w:rFonts w:eastAsia="Times New Roman" w:cs="Arial"/>
          <w:color w:val="000000" w:themeColor="text1"/>
          <w:spacing w:val="-3"/>
          <w:szCs w:val="24"/>
          <w:lang w:val="es-ES" w:eastAsia="es-ES"/>
        </w:rPr>
        <w:t xml:space="preserve"> radicado</w:t>
      </w:r>
      <w:r>
        <w:rPr>
          <w:rFonts w:eastAsia="Times New Roman" w:cs="Arial"/>
          <w:color w:val="000000" w:themeColor="text1"/>
          <w:spacing w:val="-3"/>
          <w:szCs w:val="24"/>
          <w:lang w:val="es-ES" w:eastAsia="es-ES"/>
        </w:rPr>
        <w:t xml:space="preserve"> CREG</w:t>
      </w:r>
      <w:r w:rsidR="00CD0210">
        <w:rPr>
          <w:rFonts w:eastAsia="Times New Roman" w:cs="Arial"/>
          <w:color w:val="000000" w:themeColor="text1"/>
          <w:spacing w:val="-3"/>
          <w:szCs w:val="24"/>
          <w:lang w:val="es-ES" w:eastAsia="es-ES"/>
        </w:rPr>
        <w:t xml:space="preserve"> E-2020-014442</w:t>
      </w:r>
      <w:r w:rsidR="00CD0210" w:rsidDel="00AE417E">
        <w:rPr>
          <w:rFonts w:eastAsia="Times New Roman" w:cs="Arial"/>
          <w:color w:val="000000" w:themeColor="text1"/>
          <w:spacing w:val="-3"/>
          <w:szCs w:val="24"/>
          <w:lang w:val="es-ES" w:eastAsia="es-ES"/>
        </w:rPr>
        <w:t xml:space="preserve"> </w:t>
      </w:r>
      <w:r w:rsidR="00AE417E">
        <w:rPr>
          <w:rFonts w:eastAsia="Times New Roman" w:cs="Arial"/>
          <w:color w:val="000000" w:themeColor="text1"/>
          <w:spacing w:val="-3"/>
          <w:szCs w:val="24"/>
          <w:lang w:val="es-ES" w:eastAsia="es-ES"/>
        </w:rPr>
        <w:t>l</w:t>
      </w:r>
      <w:r w:rsidR="00CD0210">
        <w:rPr>
          <w:rFonts w:eastAsia="Times New Roman" w:cs="Arial"/>
          <w:color w:val="000000" w:themeColor="text1"/>
          <w:spacing w:val="-3"/>
          <w:szCs w:val="24"/>
          <w:lang w:val="es-ES" w:eastAsia="es-ES"/>
        </w:rPr>
        <w:t xml:space="preserve">a </w:t>
      </w:r>
      <w:r w:rsidR="00AE417E">
        <w:rPr>
          <w:rFonts w:eastAsia="Times New Roman" w:cs="Arial"/>
          <w:color w:val="000000" w:themeColor="text1"/>
          <w:spacing w:val="-3"/>
          <w:szCs w:val="24"/>
          <w:lang w:val="es-ES" w:eastAsia="es-ES"/>
        </w:rPr>
        <w:t>Superintendencia de Servicios Públicos Domiciliarios (</w:t>
      </w:r>
      <w:r w:rsidR="00CD0210">
        <w:rPr>
          <w:rFonts w:eastAsia="Times New Roman" w:cs="Arial"/>
          <w:color w:val="000000" w:themeColor="text1"/>
          <w:spacing w:val="-3"/>
          <w:szCs w:val="24"/>
          <w:lang w:val="es-ES" w:eastAsia="es-ES"/>
        </w:rPr>
        <w:t>SSPD</w:t>
      </w:r>
      <w:r w:rsidR="00AE417E">
        <w:rPr>
          <w:rFonts w:eastAsia="Times New Roman" w:cs="Arial"/>
          <w:color w:val="000000" w:themeColor="text1"/>
          <w:spacing w:val="-3"/>
          <w:szCs w:val="24"/>
          <w:lang w:val="es-ES" w:eastAsia="es-ES"/>
        </w:rPr>
        <w:t>)</w:t>
      </w:r>
      <w:r w:rsidR="00CD0210">
        <w:rPr>
          <w:rFonts w:eastAsia="Times New Roman" w:cs="Arial"/>
          <w:color w:val="000000" w:themeColor="text1"/>
          <w:spacing w:val="-3"/>
          <w:szCs w:val="24"/>
          <w:lang w:val="es-ES" w:eastAsia="es-ES"/>
        </w:rPr>
        <w:t xml:space="preserve"> </w:t>
      </w:r>
      <w:r w:rsidR="005600FD">
        <w:rPr>
          <w:rFonts w:eastAsia="Times New Roman" w:cs="Arial"/>
          <w:color w:val="000000" w:themeColor="text1"/>
          <w:spacing w:val="-3"/>
          <w:szCs w:val="24"/>
          <w:lang w:val="es-ES" w:eastAsia="es-ES"/>
        </w:rPr>
        <w:t>confirmó</w:t>
      </w:r>
      <w:r w:rsidR="00CD0210">
        <w:rPr>
          <w:rFonts w:eastAsia="Times New Roman" w:cs="Arial"/>
          <w:color w:val="000000" w:themeColor="text1"/>
          <w:spacing w:val="-3"/>
          <w:szCs w:val="24"/>
          <w:lang w:val="es-ES" w:eastAsia="es-ES"/>
        </w:rPr>
        <w:t xml:space="preserve"> la entrada en operación de</w:t>
      </w:r>
      <w:r w:rsidR="005600FD">
        <w:rPr>
          <w:rFonts w:eastAsia="Times New Roman" w:cs="Arial"/>
          <w:color w:val="000000" w:themeColor="text1"/>
          <w:spacing w:val="-3"/>
          <w:szCs w:val="24"/>
          <w:lang w:val="es-ES" w:eastAsia="es-ES"/>
        </w:rPr>
        <w:t xml:space="preserve"> </w:t>
      </w:r>
      <w:r w:rsidR="00CD0210">
        <w:rPr>
          <w:rFonts w:eastAsia="Times New Roman" w:cs="Arial"/>
          <w:color w:val="000000" w:themeColor="text1"/>
          <w:spacing w:val="-3"/>
          <w:szCs w:val="24"/>
          <w:lang w:val="es-ES" w:eastAsia="es-ES"/>
        </w:rPr>
        <w:t xml:space="preserve">los </w:t>
      </w:r>
      <w:r w:rsidR="005600FD" w:rsidRPr="005600FD">
        <w:rPr>
          <w:rFonts w:eastAsia="Times New Roman" w:cs="Arial"/>
          <w:color w:val="000000" w:themeColor="text1"/>
          <w:spacing w:val="-3"/>
          <w:szCs w:val="24"/>
          <w:lang w:val="es-ES" w:eastAsia="es-ES"/>
        </w:rPr>
        <w:t xml:space="preserve">ramales </w:t>
      </w:r>
      <w:proofErr w:type="spellStart"/>
      <w:r w:rsidR="005600FD" w:rsidRPr="005600FD">
        <w:rPr>
          <w:rFonts w:eastAsia="Times New Roman" w:cs="Arial"/>
          <w:color w:val="000000" w:themeColor="text1"/>
          <w:spacing w:val="-3"/>
          <w:szCs w:val="24"/>
          <w:lang w:val="es-ES" w:eastAsia="es-ES"/>
        </w:rPr>
        <w:t>Yarigüíes</w:t>
      </w:r>
      <w:proofErr w:type="spellEnd"/>
      <w:r w:rsidR="005600FD" w:rsidRPr="005600FD">
        <w:rPr>
          <w:rFonts w:eastAsia="Times New Roman" w:cs="Arial"/>
          <w:color w:val="000000" w:themeColor="text1"/>
          <w:spacing w:val="-3"/>
          <w:szCs w:val="24"/>
          <w:lang w:val="es-ES" w:eastAsia="es-ES"/>
        </w:rPr>
        <w:t xml:space="preserve"> – Puerto Wilches, Zona Industrial Cantagallo – Cantagallo, Cantagallo – San Pablo y Pompeya</w:t>
      </w:r>
      <w:r w:rsidR="00AE417E">
        <w:rPr>
          <w:rFonts w:eastAsia="Times New Roman" w:cs="Arial"/>
          <w:color w:val="000000" w:themeColor="text1"/>
          <w:spacing w:val="-3"/>
          <w:szCs w:val="24"/>
          <w:lang w:val="es-ES" w:eastAsia="es-ES"/>
        </w:rPr>
        <w:t>,</w:t>
      </w:r>
      <w:r w:rsidR="005600FD">
        <w:rPr>
          <w:rFonts w:eastAsia="Times New Roman" w:cs="Arial"/>
          <w:color w:val="000000" w:themeColor="text1"/>
          <w:spacing w:val="-3"/>
          <w:szCs w:val="24"/>
          <w:lang w:val="es-ES" w:eastAsia="es-ES"/>
        </w:rPr>
        <w:t xml:space="preserve"> </w:t>
      </w:r>
      <w:r w:rsidR="0015076F">
        <w:rPr>
          <w:rFonts w:eastAsia="Times New Roman" w:cs="Arial"/>
          <w:color w:val="000000" w:themeColor="text1"/>
          <w:spacing w:val="-3"/>
          <w:szCs w:val="24"/>
          <w:lang w:val="es-ES" w:eastAsia="es-ES"/>
        </w:rPr>
        <w:t>d</w:t>
      </w:r>
      <w:r w:rsidR="00AE417E">
        <w:rPr>
          <w:rFonts w:eastAsia="Times New Roman" w:cs="Arial"/>
          <w:color w:val="000000" w:themeColor="text1"/>
          <w:spacing w:val="-3"/>
          <w:szCs w:val="24"/>
          <w:lang w:val="es-ES" w:eastAsia="es-ES"/>
        </w:rPr>
        <w:t>ó</w:t>
      </w:r>
      <w:r w:rsidR="0015076F">
        <w:rPr>
          <w:rFonts w:eastAsia="Times New Roman" w:cs="Arial"/>
          <w:color w:val="000000" w:themeColor="text1"/>
          <w:spacing w:val="-3"/>
          <w:szCs w:val="24"/>
          <w:lang w:val="es-ES" w:eastAsia="es-ES"/>
        </w:rPr>
        <w:t>nde señala que</w:t>
      </w:r>
      <w:r w:rsidR="00AE417E">
        <w:rPr>
          <w:rFonts w:eastAsia="Times New Roman" w:cs="Arial"/>
          <w:color w:val="000000" w:themeColor="text1"/>
          <w:spacing w:val="-3"/>
          <w:szCs w:val="24"/>
          <w:lang w:val="es-ES" w:eastAsia="es-ES"/>
        </w:rPr>
        <w:t>:</w:t>
      </w:r>
      <w:r w:rsidR="0015076F">
        <w:rPr>
          <w:rFonts w:eastAsia="Times New Roman" w:cs="Arial"/>
          <w:color w:val="000000" w:themeColor="text1"/>
          <w:spacing w:val="-3"/>
          <w:szCs w:val="24"/>
          <w:lang w:val="es-ES" w:eastAsia="es-ES"/>
        </w:rPr>
        <w:t xml:space="preserve"> </w:t>
      </w:r>
    </w:p>
    <w:p w14:paraId="4C044D1A" w14:textId="77777777" w:rsidR="00C4651C" w:rsidRDefault="00C4651C" w:rsidP="009A3DA9">
      <w:pPr>
        <w:spacing w:after="0"/>
        <w:jc w:val="both"/>
        <w:rPr>
          <w:rFonts w:eastAsia="Times New Roman" w:cs="Arial"/>
          <w:color w:val="000000" w:themeColor="text1"/>
          <w:spacing w:val="-3"/>
          <w:szCs w:val="24"/>
          <w:lang w:val="es-ES" w:eastAsia="es-ES"/>
        </w:rPr>
      </w:pPr>
    </w:p>
    <w:p w14:paraId="308798DA" w14:textId="6D441EAD" w:rsidR="001D242D" w:rsidRPr="007A545D" w:rsidRDefault="00AE417E" w:rsidP="00010370">
      <w:pPr>
        <w:pStyle w:val="Cita"/>
        <w:ind w:right="284"/>
      </w:pPr>
      <w:r>
        <w:t>“</w:t>
      </w:r>
      <w:r w:rsidR="001D242D" w:rsidRPr="007A545D">
        <w:t xml:space="preserve">Con base en la </w:t>
      </w:r>
      <w:r w:rsidR="00C4651C" w:rsidRPr="007A545D">
        <w:t>información</w:t>
      </w:r>
      <w:r w:rsidR="001D242D" w:rsidRPr="007A545D">
        <w:t xml:space="preserve"> aportada por la empresa, en </w:t>
      </w:r>
      <w:r w:rsidR="00C4651C" w:rsidRPr="007A545D">
        <w:t>relación</w:t>
      </w:r>
      <w:r w:rsidR="001D242D" w:rsidRPr="007A545D">
        <w:t xml:space="preserve"> con las fechas de entrada en </w:t>
      </w:r>
      <w:r w:rsidR="00C4651C" w:rsidRPr="007A545D">
        <w:t>operación</w:t>
      </w:r>
      <w:r w:rsidR="001D242D" w:rsidRPr="007A545D">
        <w:t xml:space="preserve"> de los activos objeto de </w:t>
      </w:r>
      <w:r w:rsidR="00714B81" w:rsidRPr="007A545D">
        <w:t>análisis</w:t>
      </w:r>
      <w:r w:rsidR="001D242D" w:rsidRPr="007A545D">
        <w:t xml:space="preserve">, se puede concluir que </w:t>
      </w:r>
      <w:proofErr w:type="spellStart"/>
      <w:r w:rsidR="001D242D" w:rsidRPr="007A545D">
        <w:t>éstos</w:t>
      </w:r>
      <w:proofErr w:type="spellEnd"/>
      <w:r w:rsidR="001D242D" w:rsidRPr="007A545D">
        <w:t xml:space="preserve"> fueron puestos en </w:t>
      </w:r>
      <w:r w:rsidR="00714B81" w:rsidRPr="007A545D">
        <w:t>operación</w:t>
      </w:r>
      <w:r w:rsidR="001D242D" w:rsidRPr="007A545D">
        <w:t xml:space="preserve"> en fechas posteriores al plazo de tres </w:t>
      </w:r>
      <w:r w:rsidR="00AC222F" w:rsidRPr="007A545D">
        <w:t>años</w:t>
      </w:r>
      <w:r w:rsidR="001D242D" w:rsidRPr="007A545D">
        <w:t xml:space="preserve">, establecido en las resoluciones CREG162-2015 y CREG085-2016, como se muestra en la siguiente tabla: </w:t>
      </w:r>
    </w:p>
    <w:p w14:paraId="51970C1C" w14:textId="77777777" w:rsidR="003F6149" w:rsidRPr="007A545D" w:rsidRDefault="003F6149" w:rsidP="00010370">
      <w:pPr>
        <w:pStyle w:val="Cita"/>
        <w:ind w:right="284"/>
        <w:jc w:val="center"/>
      </w:pPr>
      <w:r w:rsidRPr="007A545D">
        <w:rPr>
          <w:noProof/>
        </w:rPr>
        <w:drawing>
          <wp:inline distT="0" distB="0" distL="0" distR="0" wp14:anchorId="3D776E72" wp14:editId="0A09322E">
            <wp:extent cx="4435566" cy="90097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1393" cy="904189"/>
                    </a:xfrm>
                    <a:prstGeom prst="rect">
                      <a:avLst/>
                    </a:prstGeom>
                  </pic:spPr>
                </pic:pic>
              </a:graphicData>
            </a:graphic>
          </wp:inline>
        </w:drawing>
      </w:r>
    </w:p>
    <w:p w14:paraId="3DFB9870" w14:textId="6B6AE7C5" w:rsidR="00F467D5" w:rsidRPr="007A545D" w:rsidRDefault="00F467D5" w:rsidP="00010370">
      <w:pPr>
        <w:pStyle w:val="Cita"/>
        <w:ind w:right="284"/>
      </w:pPr>
      <w:r w:rsidRPr="007A545D">
        <w:t xml:space="preserve">Por otra parte, la empresa informa que la demanda no se vio afectada durante el tiempo en que se adelantaron las obras para </w:t>
      </w:r>
      <w:r w:rsidR="003A440D" w:rsidRPr="007A545D">
        <w:t>reposición</w:t>
      </w:r>
      <w:r w:rsidRPr="007A545D">
        <w:t xml:space="preserve"> de los activos. </w:t>
      </w:r>
    </w:p>
    <w:p w14:paraId="7813CCA9" w14:textId="594097EC" w:rsidR="00F467D5" w:rsidRPr="007A545D" w:rsidRDefault="00AC222F" w:rsidP="00D42104">
      <w:pPr>
        <w:pStyle w:val="Cita"/>
        <w:spacing w:after="240"/>
        <w:ind w:right="284"/>
      </w:pPr>
      <w:r w:rsidRPr="007A545D">
        <w:t>Así</w:t>
      </w:r>
      <w:r w:rsidR="00F467D5" w:rsidRPr="007A545D">
        <w:t xml:space="preserve">́ las cosas, es importante </w:t>
      </w:r>
      <w:r w:rsidR="003A440D" w:rsidRPr="007A545D">
        <w:t>señalar</w:t>
      </w:r>
      <w:r w:rsidR="00F467D5" w:rsidRPr="007A545D">
        <w:t xml:space="preserve"> que, la </w:t>
      </w:r>
      <w:r w:rsidRPr="007A545D">
        <w:t>Dirección</w:t>
      </w:r>
      <w:r w:rsidR="00F467D5" w:rsidRPr="007A545D">
        <w:t xml:space="preserve"> </w:t>
      </w:r>
      <w:r w:rsidR="007424C6" w:rsidRPr="007A545D">
        <w:t>Técnica</w:t>
      </w:r>
      <w:r w:rsidR="00F467D5" w:rsidRPr="007A545D">
        <w:t xml:space="preserve"> de </w:t>
      </w:r>
      <w:r w:rsidR="003A440D" w:rsidRPr="007A545D">
        <w:t>Gestión</w:t>
      </w:r>
      <w:r w:rsidR="00F467D5" w:rsidRPr="007A545D">
        <w:t xml:space="preserve"> de Gas Combustible realizo solamente la </w:t>
      </w:r>
      <w:r w:rsidRPr="007A545D">
        <w:t>verificación</w:t>
      </w:r>
      <w:r w:rsidR="00F467D5" w:rsidRPr="007A545D">
        <w:t xml:space="preserve"> documental, con los soportes aportados por la empresa sobre las fechas de entrada en </w:t>
      </w:r>
      <w:r w:rsidR="003A440D" w:rsidRPr="007A545D">
        <w:t>operación</w:t>
      </w:r>
      <w:r w:rsidR="00F467D5" w:rsidRPr="007A545D">
        <w:t xml:space="preserve"> de cada uno de los ramales objeto de esta </w:t>
      </w:r>
      <w:r w:rsidRPr="007A545D">
        <w:t>comunicación</w:t>
      </w:r>
      <w:r w:rsidR="00F467D5" w:rsidRPr="007A545D">
        <w:t xml:space="preserve">, debido a la imposibilidad de realizar las verificaciones correspondientes, de manera presencial, en </w:t>
      </w:r>
      <w:r w:rsidR="003A440D" w:rsidRPr="007A545D">
        <w:t>razón</w:t>
      </w:r>
      <w:r w:rsidR="00F467D5" w:rsidRPr="007A545D">
        <w:t xml:space="preserve"> a las medidas de confinamiento obligatorio establecidas por el gobierno nacional en el marco de la emergencia sanitaria por causa del coronavirus COVID-19, declarada por el Ministerio de Salud mediante </w:t>
      </w:r>
      <w:r w:rsidRPr="007A545D">
        <w:t>resolución</w:t>
      </w:r>
      <w:r w:rsidR="00F467D5" w:rsidRPr="007A545D">
        <w:t xml:space="preserve"> 385 del 12 de marzo de 2020.</w:t>
      </w:r>
      <w:r w:rsidR="00DD7198">
        <w:t>“</w:t>
      </w:r>
    </w:p>
    <w:p w14:paraId="087C1995" w14:textId="1C256879" w:rsidR="00CB039F" w:rsidRDefault="00D17288" w:rsidP="009A3DA9">
      <w:pPr>
        <w:spacing w:after="0"/>
        <w:jc w:val="both"/>
        <w:rPr>
          <w:rFonts w:eastAsia="Times New Roman" w:cs="Arial"/>
          <w:color w:val="000000" w:themeColor="text1"/>
          <w:spacing w:val="-3"/>
          <w:szCs w:val="24"/>
          <w:lang w:eastAsia="es-ES"/>
        </w:rPr>
      </w:pPr>
      <w:r>
        <w:rPr>
          <w:rFonts w:eastAsia="Times New Roman" w:cs="Arial"/>
          <w:color w:val="000000" w:themeColor="text1"/>
          <w:spacing w:val="-3"/>
          <w:szCs w:val="24"/>
          <w:lang w:eastAsia="es-ES"/>
        </w:rPr>
        <w:t>Con base en</w:t>
      </w:r>
      <w:r w:rsidR="00E866A2">
        <w:rPr>
          <w:rFonts w:eastAsia="Times New Roman" w:cs="Arial"/>
          <w:color w:val="000000" w:themeColor="text1"/>
          <w:spacing w:val="-3"/>
          <w:szCs w:val="24"/>
          <w:lang w:eastAsia="es-ES"/>
        </w:rPr>
        <w:t xml:space="preserve"> </w:t>
      </w:r>
      <w:r w:rsidR="00857928">
        <w:rPr>
          <w:rFonts w:eastAsia="Times New Roman" w:cs="Arial"/>
          <w:color w:val="000000" w:themeColor="text1"/>
          <w:spacing w:val="-3"/>
          <w:szCs w:val="24"/>
          <w:lang w:eastAsia="es-ES"/>
        </w:rPr>
        <w:t xml:space="preserve">la información reportada por la SSPD, </w:t>
      </w:r>
      <w:r w:rsidR="00E866A2">
        <w:rPr>
          <w:rFonts w:eastAsia="Times New Roman" w:cs="Arial"/>
          <w:color w:val="000000" w:themeColor="text1"/>
          <w:spacing w:val="-3"/>
          <w:szCs w:val="24"/>
          <w:lang w:eastAsia="es-ES"/>
        </w:rPr>
        <w:t>l</w:t>
      </w:r>
      <w:r w:rsidR="00CB039F">
        <w:rPr>
          <w:rFonts w:eastAsia="Times New Roman" w:cs="Arial"/>
          <w:color w:val="000000" w:themeColor="text1"/>
          <w:spacing w:val="-3"/>
          <w:szCs w:val="24"/>
          <w:lang w:eastAsia="es-ES"/>
        </w:rPr>
        <w:t>a Comisión</w:t>
      </w:r>
      <w:r w:rsidR="00010370">
        <w:rPr>
          <w:rFonts w:eastAsia="Times New Roman" w:cs="Arial"/>
          <w:color w:val="000000" w:themeColor="text1"/>
          <w:spacing w:val="-3"/>
          <w:szCs w:val="24"/>
          <w:lang w:eastAsia="es-ES"/>
        </w:rPr>
        <w:t>,</w:t>
      </w:r>
      <w:r w:rsidR="00CB039F">
        <w:rPr>
          <w:rFonts w:eastAsia="Times New Roman" w:cs="Arial"/>
          <w:color w:val="000000" w:themeColor="text1"/>
          <w:spacing w:val="-3"/>
          <w:szCs w:val="24"/>
          <w:lang w:eastAsia="es-ES"/>
        </w:rPr>
        <w:t xml:space="preserve"> </w:t>
      </w:r>
      <w:r w:rsidR="005212AB" w:rsidRPr="00DA395E">
        <w:rPr>
          <w:rFonts w:eastAsia="Times New Roman" w:cs="Arial"/>
          <w:color w:val="000000" w:themeColor="text1"/>
          <w:spacing w:val="-3"/>
          <w:szCs w:val="24"/>
          <w:lang w:eastAsia="es-ES"/>
        </w:rPr>
        <w:t>mediante</w:t>
      </w:r>
      <w:r w:rsidR="00DA395E">
        <w:rPr>
          <w:rFonts w:eastAsia="Times New Roman" w:cs="Arial"/>
          <w:color w:val="000000" w:themeColor="text1"/>
          <w:spacing w:val="-3"/>
          <w:szCs w:val="24"/>
          <w:lang w:eastAsia="es-ES"/>
        </w:rPr>
        <w:t xml:space="preserve"> </w:t>
      </w:r>
      <w:r w:rsidR="00E866A2">
        <w:rPr>
          <w:rFonts w:eastAsia="Times New Roman" w:cs="Arial"/>
          <w:color w:val="000000" w:themeColor="text1"/>
          <w:spacing w:val="-3"/>
          <w:szCs w:val="24"/>
          <w:lang w:eastAsia="es-ES"/>
        </w:rPr>
        <w:t xml:space="preserve">el </w:t>
      </w:r>
      <w:r w:rsidR="005354CA">
        <w:rPr>
          <w:rFonts w:eastAsia="Times New Roman" w:cs="Arial"/>
          <w:color w:val="000000" w:themeColor="text1"/>
          <w:spacing w:val="-3"/>
          <w:szCs w:val="24"/>
          <w:lang w:eastAsia="es-ES"/>
        </w:rPr>
        <w:t xml:space="preserve">comunicado con </w:t>
      </w:r>
      <w:r w:rsidR="00E866A2">
        <w:rPr>
          <w:rFonts w:eastAsia="Times New Roman" w:cs="Arial"/>
          <w:color w:val="000000" w:themeColor="text1"/>
          <w:spacing w:val="-3"/>
          <w:szCs w:val="24"/>
          <w:lang w:eastAsia="es-ES"/>
        </w:rPr>
        <w:t>r</w:t>
      </w:r>
      <w:r w:rsidR="00DA395E">
        <w:rPr>
          <w:rFonts w:eastAsia="Times New Roman" w:cs="Arial"/>
          <w:color w:val="000000" w:themeColor="text1"/>
          <w:spacing w:val="-3"/>
          <w:szCs w:val="24"/>
          <w:lang w:eastAsia="es-ES"/>
        </w:rPr>
        <w:t>adicado</w:t>
      </w:r>
      <w:r w:rsidR="00E866A2">
        <w:rPr>
          <w:rFonts w:eastAsia="Times New Roman" w:cs="Arial"/>
          <w:color w:val="000000" w:themeColor="text1"/>
          <w:spacing w:val="-3"/>
          <w:szCs w:val="24"/>
          <w:lang w:eastAsia="es-ES"/>
        </w:rPr>
        <w:t xml:space="preserve"> CREG</w:t>
      </w:r>
      <w:r w:rsidR="00DA395E" w:rsidDel="00E866A2">
        <w:rPr>
          <w:rFonts w:eastAsia="Times New Roman" w:cs="Arial"/>
          <w:color w:val="000000" w:themeColor="text1"/>
          <w:spacing w:val="-3"/>
          <w:szCs w:val="24"/>
          <w:lang w:eastAsia="es-ES"/>
        </w:rPr>
        <w:t xml:space="preserve"> </w:t>
      </w:r>
      <w:r w:rsidR="00DA395E">
        <w:rPr>
          <w:rFonts w:eastAsia="Times New Roman" w:cs="Arial"/>
          <w:color w:val="000000" w:themeColor="text1"/>
          <w:spacing w:val="-3"/>
          <w:szCs w:val="24"/>
          <w:lang w:eastAsia="es-ES"/>
        </w:rPr>
        <w:t>S-2021-004114</w:t>
      </w:r>
      <w:r w:rsidR="005354CA">
        <w:rPr>
          <w:rFonts w:eastAsia="Times New Roman" w:cs="Arial"/>
          <w:color w:val="000000" w:themeColor="text1"/>
          <w:spacing w:val="-3"/>
          <w:szCs w:val="24"/>
          <w:lang w:eastAsia="es-ES"/>
        </w:rPr>
        <w:t>,</w:t>
      </w:r>
      <w:r w:rsidR="00DA395E">
        <w:rPr>
          <w:rFonts w:eastAsia="Times New Roman" w:cs="Arial"/>
          <w:color w:val="000000" w:themeColor="text1"/>
          <w:spacing w:val="-3"/>
          <w:szCs w:val="24"/>
          <w:lang w:eastAsia="es-ES"/>
        </w:rPr>
        <w:t xml:space="preserve"> solicitó</w:t>
      </w:r>
      <w:r w:rsidR="00E866A2">
        <w:rPr>
          <w:rFonts w:eastAsia="Times New Roman" w:cs="Arial"/>
          <w:color w:val="000000" w:themeColor="text1"/>
          <w:spacing w:val="-3"/>
          <w:szCs w:val="24"/>
          <w:lang w:eastAsia="es-ES"/>
        </w:rPr>
        <w:t xml:space="preserve"> lo siguiente a TGI</w:t>
      </w:r>
      <w:r w:rsidR="00DA395E">
        <w:rPr>
          <w:rFonts w:eastAsia="Times New Roman" w:cs="Arial"/>
          <w:color w:val="000000" w:themeColor="text1"/>
          <w:spacing w:val="-3"/>
          <w:szCs w:val="24"/>
          <w:lang w:eastAsia="es-ES"/>
        </w:rPr>
        <w:t>:</w:t>
      </w:r>
    </w:p>
    <w:p w14:paraId="6225AFA3" w14:textId="77777777" w:rsidR="00010370" w:rsidRDefault="00010370" w:rsidP="009A3DA9">
      <w:pPr>
        <w:spacing w:after="0"/>
        <w:jc w:val="both"/>
        <w:rPr>
          <w:rFonts w:eastAsia="Times New Roman" w:cs="Arial"/>
          <w:color w:val="000000" w:themeColor="text1"/>
          <w:spacing w:val="-3"/>
          <w:szCs w:val="24"/>
          <w:lang w:eastAsia="es-ES"/>
        </w:rPr>
      </w:pPr>
    </w:p>
    <w:p w14:paraId="0CF44A97" w14:textId="04CB1828" w:rsidR="00DA395E" w:rsidRPr="007A545D" w:rsidRDefault="00E866A2" w:rsidP="00D42104">
      <w:pPr>
        <w:pStyle w:val="Cita"/>
        <w:spacing w:after="240"/>
        <w:ind w:right="284"/>
      </w:pPr>
      <w:r>
        <w:t>“</w:t>
      </w:r>
      <w:r w:rsidR="00DA395E" w:rsidRPr="007A545D">
        <w:t xml:space="preserve">le solicitamos que, complementario a la comunicación E-2018-013794 donde se abordó de manera inicial las causas de las demoras, sea diligenciado el formato anexo a la presente comunicación con el fin de documentar los hechos para cada uno de los gasoductos que llevaron a que no se cumpliera el </w:t>
      </w:r>
      <w:r w:rsidR="00DA395E" w:rsidRPr="007A545D">
        <w:lastRenderedPageBreak/>
        <w:t>plazo máximo de tres (3) años establecidos en las Resolución CREG 162 de 2015 y CREG 086 de 2016, y se puedan tener los soportes respectivos</w:t>
      </w:r>
      <w:r>
        <w:t>”</w:t>
      </w:r>
    </w:p>
    <w:p w14:paraId="19D78BF5" w14:textId="444E8CC5" w:rsidR="00CB039F" w:rsidRDefault="008B660D" w:rsidP="009A3DA9">
      <w:pPr>
        <w:spacing w:after="0"/>
        <w:jc w:val="both"/>
        <w:rPr>
          <w:rFonts w:eastAsia="Times New Roman" w:cs="Arial"/>
          <w:color w:val="000000" w:themeColor="text1"/>
          <w:spacing w:val="-3"/>
          <w:szCs w:val="24"/>
          <w:lang w:eastAsia="es-ES"/>
        </w:rPr>
      </w:pPr>
      <w:r>
        <w:rPr>
          <w:rFonts w:eastAsia="Times New Roman" w:cs="Arial"/>
          <w:color w:val="000000" w:themeColor="text1"/>
          <w:spacing w:val="-3"/>
          <w:szCs w:val="24"/>
          <w:lang w:eastAsia="es-ES"/>
        </w:rPr>
        <w:t xml:space="preserve">En respuesta de lo anterior, </w:t>
      </w:r>
      <w:r w:rsidR="00DA395E">
        <w:rPr>
          <w:rFonts w:eastAsia="Times New Roman" w:cs="Arial"/>
          <w:color w:val="000000" w:themeColor="text1"/>
          <w:spacing w:val="-3"/>
          <w:szCs w:val="24"/>
          <w:lang w:eastAsia="es-ES"/>
        </w:rPr>
        <w:t>mediante radicado</w:t>
      </w:r>
      <w:r>
        <w:rPr>
          <w:rFonts w:eastAsia="Times New Roman" w:cs="Arial"/>
          <w:color w:val="000000" w:themeColor="text1"/>
          <w:spacing w:val="-3"/>
          <w:szCs w:val="24"/>
          <w:lang w:eastAsia="es-ES"/>
        </w:rPr>
        <w:t xml:space="preserve"> CREG</w:t>
      </w:r>
      <w:r w:rsidR="00DA395E">
        <w:rPr>
          <w:rFonts w:eastAsia="Times New Roman" w:cs="Arial"/>
          <w:color w:val="000000" w:themeColor="text1"/>
          <w:spacing w:val="-3"/>
          <w:szCs w:val="24"/>
          <w:lang w:eastAsia="es-ES"/>
        </w:rPr>
        <w:t xml:space="preserve"> </w:t>
      </w:r>
      <w:r w:rsidR="009C660A">
        <w:rPr>
          <w:rFonts w:eastAsia="Times New Roman" w:cs="Arial"/>
          <w:color w:val="000000" w:themeColor="text1"/>
          <w:spacing w:val="-3"/>
          <w:szCs w:val="24"/>
          <w:lang w:eastAsia="es-ES"/>
        </w:rPr>
        <w:t>E-2021-013218</w:t>
      </w:r>
      <w:r w:rsidR="00010370">
        <w:rPr>
          <w:rFonts w:eastAsia="Times New Roman" w:cs="Arial"/>
          <w:color w:val="000000" w:themeColor="text1"/>
          <w:spacing w:val="-3"/>
          <w:szCs w:val="24"/>
          <w:lang w:eastAsia="es-ES"/>
        </w:rPr>
        <w:t>,</w:t>
      </w:r>
      <w:r w:rsidR="009C660A">
        <w:rPr>
          <w:rFonts w:eastAsia="Times New Roman" w:cs="Arial"/>
          <w:color w:val="000000" w:themeColor="text1"/>
          <w:spacing w:val="-3"/>
          <w:szCs w:val="24"/>
          <w:lang w:eastAsia="es-ES"/>
        </w:rPr>
        <w:t xml:space="preserve"> </w:t>
      </w:r>
      <w:r w:rsidR="001C7E2B">
        <w:rPr>
          <w:rFonts w:eastAsia="Times New Roman" w:cs="Arial"/>
          <w:color w:val="000000" w:themeColor="text1"/>
          <w:spacing w:val="-3"/>
          <w:szCs w:val="24"/>
          <w:lang w:eastAsia="es-ES"/>
        </w:rPr>
        <w:t>TGI aclar</w:t>
      </w:r>
      <w:r>
        <w:rPr>
          <w:rFonts w:eastAsia="Times New Roman" w:cs="Arial"/>
          <w:color w:val="000000" w:themeColor="text1"/>
          <w:spacing w:val="-3"/>
          <w:szCs w:val="24"/>
          <w:lang w:eastAsia="es-ES"/>
        </w:rPr>
        <w:t>ó</w:t>
      </w:r>
      <w:r w:rsidR="001C7E2B">
        <w:rPr>
          <w:rFonts w:eastAsia="Times New Roman" w:cs="Arial"/>
          <w:color w:val="000000" w:themeColor="text1"/>
          <w:spacing w:val="-3"/>
          <w:szCs w:val="24"/>
          <w:lang w:eastAsia="es-ES"/>
        </w:rPr>
        <w:t>:</w:t>
      </w:r>
    </w:p>
    <w:p w14:paraId="57263463" w14:textId="77777777" w:rsidR="00900418" w:rsidRDefault="00900418" w:rsidP="009A3DA9">
      <w:pPr>
        <w:spacing w:after="0"/>
        <w:jc w:val="both"/>
        <w:rPr>
          <w:rFonts w:eastAsia="Times New Roman" w:cs="Arial"/>
          <w:color w:val="000000" w:themeColor="text1"/>
          <w:spacing w:val="-3"/>
          <w:szCs w:val="24"/>
          <w:lang w:eastAsia="es-ES"/>
        </w:rPr>
      </w:pPr>
    </w:p>
    <w:p w14:paraId="0CA47E31" w14:textId="064098DE" w:rsidR="008C0688" w:rsidRDefault="008C0688" w:rsidP="001A3546">
      <w:pPr>
        <w:spacing w:after="0"/>
        <w:ind w:firstLine="708"/>
        <w:jc w:val="both"/>
        <w:rPr>
          <w:rFonts w:eastAsia="Times New Roman" w:cs="Arial"/>
          <w:color w:val="000000" w:themeColor="text1"/>
          <w:spacing w:val="-3"/>
          <w:szCs w:val="24"/>
          <w:lang w:eastAsia="es-ES"/>
        </w:rPr>
      </w:pPr>
      <w:r>
        <w:rPr>
          <w:rFonts w:eastAsia="Times New Roman" w:cs="Arial"/>
          <w:color w:val="000000" w:themeColor="text1"/>
          <w:spacing w:val="-3"/>
          <w:szCs w:val="24"/>
          <w:lang w:eastAsia="es-ES"/>
        </w:rPr>
        <w:t>“</w:t>
      </w:r>
    </w:p>
    <w:p w14:paraId="1CF10758" w14:textId="5864B52E" w:rsidR="00D76B9E" w:rsidRPr="00984143" w:rsidRDefault="00D76B9E">
      <w:pPr>
        <w:pStyle w:val="Cita"/>
        <w:numPr>
          <w:ilvl w:val="0"/>
          <w:numId w:val="5"/>
        </w:numPr>
        <w:rPr>
          <w:lang w:val="es-ES_tradnl" w:eastAsia="es-MX"/>
        </w:rPr>
      </w:pPr>
      <w:r w:rsidRPr="00984143">
        <w:rPr>
          <w:lang w:val="es-ES_tradnl" w:eastAsia="es-MX"/>
        </w:rPr>
        <w:t xml:space="preserve">En ninguno de los ramales citados en la referencia, durante el tiempo adicional requerido para la </w:t>
      </w:r>
      <w:r w:rsidR="003A440D" w:rsidRPr="00984143">
        <w:rPr>
          <w:lang w:val="es-ES_tradnl" w:eastAsia="es-MX"/>
        </w:rPr>
        <w:t>terminación</w:t>
      </w:r>
      <w:r w:rsidRPr="00984143">
        <w:rPr>
          <w:lang w:val="es-ES_tradnl" w:eastAsia="es-MX"/>
        </w:rPr>
        <w:t xml:space="preserve"> de su </w:t>
      </w:r>
      <w:r w:rsidR="00AC222F" w:rsidRPr="00984143">
        <w:rPr>
          <w:lang w:val="es-ES_tradnl" w:eastAsia="es-MX"/>
        </w:rPr>
        <w:t>reposición</w:t>
      </w:r>
      <w:r w:rsidRPr="00984143">
        <w:rPr>
          <w:lang w:val="es-ES_tradnl" w:eastAsia="es-MX"/>
        </w:rPr>
        <w:t xml:space="preserve"> y puesta en </w:t>
      </w:r>
      <w:r w:rsidR="00AC222F" w:rsidRPr="00984143">
        <w:rPr>
          <w:lang w:val="es-ES_tradnl" w:eastAsia="es-MX"/>
        </w:rPr>
        <w:t>operación</w:t>
      </w:r>
      <w:r w:rsidRPr="00984143">
        <w:rPr>
          <w:lang w:val="es-ES_tradnl" w:eastAsia="es-MX"/>
        </w:rPr>
        <w:t xml:space="preserve"> de los nuevos gasoductos, se presentaron problemas en la </w:t>
      </w:r>
      <w:r w:rsidR="003A440D" w:rsidRPr="00984143">
        <w:rPr>
          <w:lang w:val="es-ES_tradnl" w:eastAsia="es-MX"/>
        </w:rPr>
        <w:t>prestación</w:t>
      </w:r>
      <w:r w:rsidRPr="00984143">
        <w:rPr>
          <w:lang w:val="es-ES_tradnl" w:eastAsia="es-MX"/>
        </w:rPr>
        <w:t xml:space="preserve"> del servicio de gas natural. En este </w:t>
      </w:r>
      <w:r w:rsidR="00AC222F" w:rsidRPr="00984143">
        <w:rPr>
          <w:lang w:val="es-ES_tradnl" w:eastAsia="es-MX"/>
        </w:rPr>
        <w:t>periodo</w:t>
      </w:r>
      <w:r w:rsidRPr="00984143">
        <w:rPr>
          <w:lang w:val="es-ES_tradnl" w:eastAsia="es-MX"/>
        </w:rPr>
        <w:t xml:space="preserve"> se dio continuidad y se </w:t>
      </w:r>
      <w:r w:rsidR="002A3BEF" w:rsidRPr="00984143">
        <w:rPr>
          <w:lang w:val="es-ES_tradnl" w:eastAsia="es-MX"/>
        </w:rPr>
        <w:t>garantizó</w:t>
      </w:r>
      <w:r w:rsidRPr="00984143">
        <w:rPr>
          <w:lang w:val="es-ES_tradnl" w:eastAsia="es-MX"/>
        </w:rPr>
        <w:t xml:space="preserve">́ el servicio. </w:t>
      </w:r>
    </w:p>
    <w:p w14:paraId="17CE6DB5" w14:textId="032A51AE" w:rsidR="00EB282F" w:rsidRPr="00EB282F" w:rsidRDefault="00EB282F">
      <w:pPr>
        <w:pStyle w:val="Cita"/>
        <w:numPr>
          <w:ilvl w:val="0"/>
          <w:numId w:val="5"/>
        </w:numPr>
        <w:rPr>
          <w:lang w:val="es-ES_tradnl" w:eastAsia="es-MX"/>
        </w:rPr>
      </w:pPr>
      <w:r w:rsidRPr="00EB282F">
        <w:rPr>
          <w:lang w:val="es-ES_tradnl" w:eastAsia="es-MX"/>
        </w:rPr>
        <w:t xml:space="preserve">El ramal Pompeya se excluye de la </w:t>
      </w:r>
      <w:r w:rsidR="00357816" w:rsidRPr="00EB282F">
        <w:rPr>
          <w:lang w:val="es-ES_tradnl" w:eastAsia="es-MX"/>
        </w:rPr>
        <w:t>información</w:t>
      </w:r>
      <w:r w:rsidRPr="00EB282F">
        <w:rPr>
          <w:lang w:val="es-ES_tradnl" w:eastAsia="es-MX"/>
        </w:rPr>
        <w:t xml:space="preserve"> aportada en el cuadro anexo, considerando que </w:t>
      </w:r>
      <w:r w:rsidR="00357816" w:rsidRPr="00EB282F">
        <w:rPr>
          <w:lang w:val="es-ES_tradnl" w:eastAsia="es-MX"/>
        </w:rPr>
        <w:t>este</w:t>
      </w:r>
      <w:r w:rsidRPr="00EB282F">
        <w:rPr>
          <w:lang w:val="es-ES_tradnl" w:eastAsia="es-MX"/>
        </w:rPr>
        <w:t xml:space="preserve"> alcanzó su </w:t>
      </w:r>
      <w:r w:rsidR="007424C6" w:rsidRPr="00EB282F">
        <w:rPr>
          <w:lang w:val="es-ES_tradnl" w:eastAsia="es-MX"/>
        </w:rPr>
        <w:t>reposición</w:t>
      </w:r>
      <w:r w:rsidRPr="00EB282F">
        <w:rPr>
          <w:lang w:val="es-ES_tradnl" w:eastAsia="es-MX"/>
        </w:rPr>
        <w:t xml:space="preserve"> antes de los 3 </w:t>
      </w:r>
      <w:r w:rsidR="00357816" w:rsidRPr="00EB282F">
        <w:rPr>
          <w:lang w:val="es-ES_tradnl" w:eastAsia="es-MX"/>
        </w:rPr>
        <w:t>años</w:t>
      </w:r>
      <w:r w:rsidRPr="00EB282F">
        <w:rPr>
          <w:lang w:val="es-ES_tradnl" w:eastAsia="es-MX"/>
        </w:rPr>
        <w:t xml:space="preserve"> establecidos por el </w:t>
      </w:r>
      <w:r w:rsidR="00357816" w:rsidRPr="00EB282F">
        <w:rPr>
          <w:lang w:val="es-ES_tradnl" w:eastAsia="es-MX"/>
        </w:rPr>
        <w:t>Parágrafo</w:t>
      </w:r>
      <w:r w:rsidRPr="00EB282F">
        <w:rPr>
          <w:lang w:val="es-ES_tradnl" w:eastAsia="es-MX"/>
        </w:rPr>
        <w:t xml:space="preserve"> 1 del </w:t>
      </w:r>
      <w:r w:rsidR="007424C6" w:rsidRPr="00EB282F">
        <w:rPr>
          <w:lang w:val="es-ES_tradnl" w:eastAsia="es-MX"/>
        </w:rPr>
        <w:t>Artículo</w:t>
      </w:r>
      <w:r w:rsidRPr="00EB282F">
        <w:rPr>
          <w:lang w:val="es-ES_tradnl" w:eastAsia="es-MX"/>
        </w:rPr>
        <w:t xml:space="preserve"> 1 de la </w:t>
      </w:r>
      <w:r w:rsidR="00357816" w:rsidRPr="00EB282F">
        <w:rPr>
          <w:lang w:val="es-ES_tradnl" w:eastAsia="es-MX"/>
        </w:rPr>
        <w:t>Resolución</w:t>
      </w:r>
      <w:r w:rsidRPr="00EB282F">
        <w:rPr>
          <w:lang w:val="es-ES_tradnl" w:eastAsia="es-MX"/>
        </w:rPr>
        <w:t xml:space="preserve"> CREG 085 DE 2016. Lo anterior en concordancia con la </w:t>
      </w:r>
      <w:r w:rsidR="00357816" w:rsidRPr="00EB282F">
        <w:rPr>
          <w:lang w:val="es-ES_tradnl" w:eastAsia="es-MX"/>
        </w:rPr>
        <w:t>comunicación</w:t>
      </w:r>
      <w:r w:rsidRPr="00EB282F">
        <w:rPr>
          <w:lang w:val="es-ES_tradnl" w:eastAsia="es-MX"/>
        </w:rPr>
        <w:t xml:space="preserve"> de radicado S-2018-005383 del 30 de noviembre de 2018, en la cual la CREG indica que, </w:t>
      </w:r>
      <w:r w:rsidR="00357816" w:rsidRPr="00EB282F">
        <w:rPr>
          <w:lang w:val="es-ES_tradnl" w:eastAsia="es-MX"/>
        </w:rPr>
        <w:t>según</w:t>
      </w:r>
      <w:r w:rsidRPr="00EB282F">
        <w:rPr>
          <w:lang w:val="es-ES_tradnl" w:eastAsia="es-MX"/>
        </w:rPr>
        <w:t xml:space="preserve"> lo contenido en la citada </w:t>
      </w:r>
      <w:r w:rsidR="00357816" w:rsidRPr="00EB282F">
        <w:rPr>
          <w:lang w:val="es-ES_tradnl" w:eastAsia="es-MX"/>
        </w:rPr>
        <w:t>resolución</w:t>
      </w:r>
      <w:r w:rsidRPr="00EB282F">
        <w:rPr>
          <w:lang w:val="es-ES_tradnl" w:eastAsia="es-MX"/>
        </w:rPr>
        <w:t xml:space="preserve">, el plazo </w:t>
      </w:r>
      <w:r w:rsidR="007424C6" w:rsidRPr="00EB282F">
        <w:rPr>
          <w:lang w:val="es-ES_tradnl" w:eastAsia="es-MX"/>
        </w:rPr>
        <w:t>máximo</w:t>
      </w:r>
      <w:r w:rsidRPr="00EB282F">
        <w:rPr>
          <w:lang w:val="es-ES_tradnl" w:eastAsia="es-MX"/>
        </w:rPr>
        <w:t xml:space="preserve"> para la entrada en </w:t>
      </w:r>
      <w:r w:rsidR="00357816" w:rsidRPr="00EB282F">
        <w:rPr>
          <w:lang w:val="es-ES_tradnl" w:eastAsia="es-MX"/>
        </w:rPr>
        <w:t>operación</w:t>
      </w:r>
      <w:r w:rsidRPr="00EB282F">
        <w:rPr>
          <w:lang w:val="es-ES_tradnl" w:eastAsia="es-MX"/>
        </w:rPr>
        <w:t xml:space="preserve"> del ramal Pompeya era el 26 de diciembre de 2019 y este fue puesto en </w:t>
      </w:r>
      <w:r w:rsidR="00E568B1" w:rsidRPr="00EB282F">
        <w:rPr>
          <w:lang w:val="es-ES_tradnl" w:eastAsia="es-MX"/>
        </w:rPr>
        <w:t>operación</w:t>
      </w:r>
      <w:r w:rsidRPr="00EB282F">
        <w:rPr>
          <w:lang w:val="es-ES_tradnl" w:eastAsia="es-MX"/>
        </w:rPr>
        <w:t xml:space="preserve"> el 12 de diciembre de 2019</w:t>
      </w:r>
      <w:r w:rsidR="00C010AF">
        <w:rPr>
          <w:rStyle w:val="Refdenotaalpie"/>
          <w:lang w:val="es-ES_tradnl" w:eastAsia="es-MX"/>
        </w:rPr>
        <w:footnoteReference w:id="2"/>
      </w:r>
      <w:r w:rsidRPr="00EB282F">
        <w:rPr>
          <w:lang w:val="es-ES_tradnl" w:eastAsia="es-MX"/>
        </w:rPr>
        <w:t xml:space="preserve">. </w:t>
      </w:r>
    </w:p>
    <w:p w14:paraId="08D94631" w14:textId="1AF8D067" w:rsidR="00984143" w:rsidRPr="00984143" w:rsidRDefault="00984143">
      <w:pPr>
        <w:pStyle w:val="Cita"/>
        <w:numPr>
          <w:ilvl w:val="0"/>
          <w:numId w:val="5"/>
        </w:numPr>
        <w:rPr>
          <w:lang w:val="es-ES_tradnl" w:eastAsia="es-MX"/>
        </w:rPr>
      </w:pPr>
      <w:r w:rsidRPr="00984143">
        <w:rPr>
          <w:lang w:val="es-ES_tradnl" w:eastAsia="es-MX"/>
        </w:rPr>
        <w:t xml:space="preserve">De acuerdo con el Decreto 1076 de 2015 (Decreto </w:t>
      </w:r>
      <w:r w:rsidR="00996508" w:rsidRPr="00984143">
        <w:rPr>
          <w:lang w:val="es-ES_tradnl" w:eastAsia="es-MX"/>
        </w:rPr>
        <w:t>Único</w:t>
      </w:r>
      <w:r w:rsidRPr="00984143">
        <w:rPr>
          <w:lang w:val="es-ES_tradnl" w:eastAsia="es-MX"/>
        </w:rPr>
        <w:t xml:space="preserve"> Reglamentario del Sector de Ambiente y Desarrollo Sostenible), para el desarrollo de actividades constructivas que no se encuentren bajo los lineamientos establecidos para la solicitud de licenciamiento ambiental y que requieran del aprovechamiento de recursos naturales, </w:t>
      </w:r>
      <w:r w:rsidR="00E568B1" w:rsidRPr="00984143">
        <w:rPr>
          <w:lang w:val="es-ES_tradnl" w:eastAsia="es-MX"/>
        </w:rPr>
        <w:t>deberá</w:t>
      </w:r>
      <w:r w:rsidRPr="00984143">
        <w:rPr>
          <w:lang w:val="es-ES_tradnl" w:eastAsia="es-MX"/>
        </w:rPr>
        <w:t xml:space="preserve">́ surtirse con las Corporaciones </w:t>
      </w:r>
      <w:r w:rsidR="00E568B1" w:rsidRPr="00984143">
        <w:rPr>
          <w:lang w:val="es-ES_tradnl" w:eastAsia="es-MX"/>
        </w:rPr>
        <w:t>Autónomas</w:t>
      </w:r>
      <w:r w:rsidRPr="00984143">
        <w:rPr>
          <w:lang w:val="es-ES_tradnl" w:eastAsia="es-MX"/>
        </w:rPr>
        <w:t xml:space="preserve"> Regionales -CAR- las solicitudes respectivas para el uso de estos recursos naturales. Igualmente, establece para su momento que, en los casos que se requiera adelantar adicionalmente los tramites de levantamientos de veda del nivel nacional y/o </w:t>
      </w:r>
      <w:r w:rsidR="00E568B1" w:rsidRPr="00984143">
        <w:rPr>
          <w:lang w:val="es-ES_tradnl" w:eastAsia="es-MX"/>
        </w:rPr>
        <w:t>sustracción</w:t>
      </w:r>
      <w:r w:rsidRPr="00984143">
        <w:rPr>
          <w:lang w:val="es-ES_tradnl" w:eastAsia="es-MX"/>
        </w:rPr>
        <w:t xml:space="preserve"> de reservas, el concepto y su </w:t>
      </w:r>
      <w:r w:rsidR="00E568B1" w:rsidRPr="00984143">
        <w:rPr>
          <w:lang w:val="es-ES_tradnl" w:eastAsia="es-MX"/>
        </w:rPr>
        <w:t>autorización</w:t>
      </w:r>
      <w:r w:rsidRPr="00984143">
        <w:rPr>
          <w:lang w:val="es-ES_tradnl" w:eastAsia="es-MX"/>
        </w:rPr>
        <w:t xml:space="preserve"> </w:t>
      </w:r>
      <w:r w:rsidR="007424C6" w:rsidRPr="00984143">
        <w:rPr>
          <w:lang w:val="es-ES_tradnl" w:eastAsia="es-MX"/>
        </w:rPr>
        <w:t>deberá</w:t>
      </w:r>
      <w:r w:rsidRPr="00984143">
        <w:rPr>
          <w:lang w:val="es-ES_tradnl" w:eastAsia="es-MX"/>
        </w:rPr>
        <w:t xml:space="preserve">́ darse previamente a la </w:t>
      </w:r>
      <w:r w:rsidR="00E568B1" w:rsidRPr="00984143">
        <w:rPr>
          <w:lang w:val="es-ES_tradnl" w:eastAsia="es-MX"/>
        </w:rPr>
        <w:t>expedición</w:t>
      </w:r>
      <w:r w:rsidRPr="00984143">
        <w:rPr>
          <w:lang w:val="es-ES_tradnl" w:eastAsia="es-MX"/>
        </w:rPr>
        <w:t xml:space="preserve"> de las licencias y/o permisos que involucren el aprovechamiento de recursos. Igualmente, su </w:t>
      </w:r>
      <w:r w:rsidR="00E568B1" w:rsidRPr="00984143">
        <w:rPr>
          <w:lang w:val="es-ES_tradnl" w:eastAsia="es-MX"/>
        </w:rPr>
        <w:t>evaluación</w:t>
      </w:r>
      <w:r w:rsidRPr="00984143">
        <w:rPr>
          <w:lang w:val="es-ES_tradnl" w:eastAsia="es-MX"/>
        </w:rPr>
        <w:t xml:space="preserve"> es competencia del Ministerio de Ambiente y Desarrollo Sostenible -MADS-. </w:t>
      </w:r>
    </w:p>
    <w:p w14:paraId="126685CB" w14:textId="3F991BC5" w:rsidR="00984143" w:rsidRPr="00984143" w:rsidRDefault="00984143">
      <w:pPr>
        <w:pStyle w:val="Cita"/>
        <w:numPr>
          <w:ilvl w:val="0"/>
          <w:numId w:val="5"/>
        </w:numPr>
        <w:rPr>
          <w:lang w:val="es-ES_tradnl" w:eastAsia="es-MX"/>
        </w:rPr>
      </w:pPr>
      <w:r w:rsidRPr="00984143">
        <w:rPr>
          <w:lang w:val="es-ES_tradnl" w:eastAsia="es-MX"/>
        </w:rPr>
        <w:t xml:space="preserve">Con </w:t>
      </w:r>
      <w:r w:rsidR="00E568B1" w:rsidRPr="00984143">
        <w:rPr>
          <w:lang w:val="es-ES_tradnl" w:eastAsia="es-MX"/>
        </w:rPr>
        <w:t>excepción</w:t>
      </w:r>
      <w:r w:rsidRPr="00984143">
        <w:rPr>
          <w:lang w:val="es-ES_tradnl" w:eastAsia="es-MX"/>
        </w:rPr>
        <w:t xml:space="preserve"> de Pompeya, todos estos ramales requirieron previo a su </w:t>
      </w:r>
      <w:r w:rsidR="008A51F3" w:rsidRPr="00984143">
        <w:rPr>
          <w:lang w:val="es-ES_tradnl" w:eastAsia="es-MX"/>
        </w:rPr>
        <w:t>ejecución</w:t>
      </w:r>
      <w:r w:rsidRPr="00984143">
        <w:rPr>
          <w:lang w:val="es-ES_tradnl" w:eastAsia="es-MX"/>
        </w:rPr>
        <w:t xml:space="preserve">, varios de estos </w:t>
      </w:r>
      <w:r w:rsidR="008A51F3" w:rsidRPr="00984143">
        <w:rPr>
          <w:lang w:val="es-ES_tradnl" w:eastAsia="es-MX"/>
        </w:rPr>
        <w:t>trámites</w:t>
      </w:r>
      <w:r w:rsidRPr="00984143">
        <w:rPr>
          <w:lang w:val="es-ES_tradnl" w:eastAsia="es-MX"/>
        </w:rPr>
        <w:t xml:space="preserve"> administrativos relacionados con permisos y autorizaciones del Sector Ambiente y Desarrollo Sostenible, los cuales se resumen a </w:t>
      </w:r>
      <w:r w:rsidR="008A51F3" w:rsidRPr="00984143">
        <w:rPr>
          <w:lang w:val="es-ES_tradnl" w:eastAsia="es-MX"/>
        </w:rPr>
        <w:t>continuación</w:t>
      </w:r>
      <w:r w:rsidRPr="00984143">
        <w:rPr>
          <w:lang w:val="es-ES_tradnl" w:eastAsia="es-MX"/>
        </w:rPr>
        <w:t xml:space="preserve">: </w:t>
      </w:r>
    </w:p>
    <w:p w14:paraId="317CAB78" w14:textId="777CC787" w:rsidR="00A451AE" w:rsidRPr="00AF47F0" w:rsidRDefault="00A451AE">
      <w:pPr>
        <w:pStyle w:val="Cita"/>
        <w:numPr>
          <w:ilvl w:val="0"/>
          <w:numId w:val="5"/>
        </w:numPr>
        <w:rPr>
          <w:lang w:val="es-ES_tradnl" w:eastAsia="es-MX"/>
        </w:rPr>
      </w:pPr>
      <w:r w:rsidRPr="00A451AE">
        <w:rPr>
          <w:lang w:val="es-ES_tradnl" w:eastAsia="es-MX"/>
        </w:rPr>
        <w:t xml:space="preserve">Con </w:t>
      </w:r>
      <w:r w:rsidR="008A51F3" w:rsidRPr="00A451AE">
        <w:rPr>
          <w:lang w:val="es-ES_tradnl" w:eastAsia="es-MX"/>
        </w:rPr>
        <w:t>excepción</w:t>
      </w:r>
      <w:r w:rsidRPr="00A451AE">
        <w:rPr>
          <w:lang w:val="es-ES_tradnl" w:eastAsia="es-MX"/>
        </w:rPr>
        <w:t xml:space="preserve"> de Pompeya, todos estos ramales requirieron previo a su </w:t>
      </w:r>
      <w:r w:rsidR="008A51F3" w:rsidRPr="00A451AE">
        <w:rPr>
          <w:lang w:val="es-ES_tradnl" w:eastAsia="es-MX"/>
        </w:rPr>
        <w:t>ejecución</w:t>
      </w:r>
      <w:r w:rsidRPr="00A451AE">
        <w:rPr>
          <w:lang w:val="es-ES_tradnl" w:eastAsia="es-MX"/>
        </w:rPr>
        <w:t xml:space="preserve">, </w:t>
      </w:r>
      <w:r w:rsidRPr="00AF47F0">
        <w:rPr>
          <w:lang w:val="es-ES_tradnl" w:eastAsia="es-MX"/>
        </w:rPr>
        <w:t xml:space="preserve">varios de estos </w:t>
      </w:r>
      <w:r w:rsidR="008A51F3" w:rsidRPr="00AF47F0">
        <w:rPr>
          <w:lang w:val="es-ES_tradnl" w:eastAsia="es-MX"/>
        </w:rPr>
        <w:t>trámites</w:t>
      </w:r>
      <w:r w:rsidRPr="00AF47F0">
        <w:rPr>
          <w:lang w:val="es-ES_tradnl" w:eastAsia="es-MX"/>
        </w:rPr>
        <w:t xml:space="preserve"> administrativos relacionados con permisos y autorizaciones del Sector Ambiente y Desarrollo Sostenible, los cuales se resumen a </w:t>
      </w:r>
      <w:r w:rsidR="008A51F3" w:rsidRPr="00AF47F0">
        <w:rPr>
          <w:lang w:val="es-ES_tradnl" w:eastAsia="es-MX"/>
        </w:rPr>
        <w:t>continuación</w:t>
      </w:r>
      <w:r w:rsidRPr="00AF47F0">
        <w:rPr>
          <w:lang w:val="es-ES_tradnl" w:eastAsia="es-MX"/>
        </w:rPr>
        <w:t xml:space="preserve">: </w:t>
      </w:r>
    </w:p>
    <w:p w14:paraId="16CAE500" w14:textId="1F93C804" w:rsidR="00A451AE" w:rsidRPr="00AF47F0" w:rsidRDefault="00A451AE">
      <w:pPr>
        <w:pStyle w:val="Cita"/>
        <w:numPr>
          <w:ilvl w:val="1"/>
          <w:numId w:val="5"/>
        </w:numPr>
        <w:ind w:left="1276" w:hanging="567"/>
        <w:rPr>
          <w:lang w:val="es-ES_tradnl" w:eastAsia="es-MX"/>
        </w:rPr>
      </w:pPr>
      <w:r w:rsidRPr="00AF47F0">
        <w:rPr>
          <w:lang w:val="es-ES_tradnl" w:eastAsia="es-MX"/>
        </w:rPr>
        <w:t xml:space="preserve">Ramal </w:t>
      </w:r>
      <w:proofErr w:type="spellStart"/>
      <w:r w:rsidRPr="00AF47F0">
        <w:rPr>
          <w:lang w:val="es-ES_tradnl" w:eastAsia="es-MX"/>
        </w:rPr>
        <w:t>Yariguíes</w:t>
      </w:r>
      <w:proofErr w:type="spellEnd"/>
      <w:r w:rsidRPr="00AF47F0">
        <w:rPr>
          <w:lang w:val="es-ES_tradnl" w:eastAsia="es-MX"/>
        </w:rPr>
        <w:t xml:space="preserve"> - Puerto Wilches: a) Permiso de Aprovechamiento Forestal; b) </w:t>
      </w:r>
      <w:r w:rsidR="008A51F3" w:rsidRPr="00AF47F0">
        <w:rPr>
          <w:lang w:val="es-ES_tradnl" w:eastAsia="es-MX"/>
        </w:rPr>
        <w:t>Concesión</w:t>
      </w:r>
      <w:r w:rsidRPr="00AF47F0">
        <w:rPr>
          <w:lang w:val="es-ES_tradnl" w:eastAsia="es-MX"/>
        </w:rPr>
        <w:t xml:space="preserve"> de Aguas Superficiales; c) </w:t>
      </w:r>
      <w:r w:rsidR="003D7B07" w:rsidRPr="00AF47F0">
        <w:rPr>
          <w:lang w:val="es-ES_tradnl" w:eastAsia="es-MX"/>
        </w:rPr>
        <w:t>Ocupación</w:t>
      </w:r>
      <w:r w:rsidRPr="00AF47F0">
        <w:rPr>
          <w:lang w:val="es-ES_tradnl" w:eastAsia="es-MX"/>
        </w:rPr>
        <w:t xml:space="preserve"> de Cauces; estos tres </w:t>
      </w:r>
      <w:r w:rsidR="003D7B07" w:rsidRPr="00AF47F0">
        <w:rPr>
          <w:lang w:val="es-ES_tradnl" w:eastAsia="es-MX"/>
        </w:rPr>
        <w:t>trámites</w:t>
      </w:r>
      <w:r w:rsidRPr="00AF47F0">
        <w:rPr>
          <w:lang w:val="es-ES_tradnl" w:eastAsia="es-MX"/>
        </w:rPr>
        <w:t xml:space="preserve"> se gestionaron ante la </w:t>
      </w:r>
      <w:r w:rsidR="003D7B07" w:rsidRPr="00AF47F0">
        <w:rPr>
          <w:lang w:val="es-ES_tradnl" w:eastAsia="es-MX"/>
        </w:rPr>
        <w:t>Corporación</w:t>
      </w:r>
      <w:r w:rsidRPr="00AF47F0">
        <w:rPr>
          <w:lang w:val="es-ES_tradnl" w:eastAsia="es-MX"/>
        </w:rPr>
        <w:t xml:space="preserve"> </w:t>
      </w:r>
      <w:r w:rsidR="007424C6" w:rsidRPr="00AF47F0">
        <w:rPr>
          <w:lang w:val="es-ES_tradnl" w:eastAsia="es-MX"/>
        </w:rPr>
        <w:t>Autónoma</w:t>
      </w:r>
      <w:r w:rsidRPr="00AF47F0">
        <w:rPr>
          <w:lang w:val="es-ES_tradnl" w:eastAsia="es-MX"/>
        </w:rPr>
        <w:t xml:space="preserve"> Regional de Santander -CAS-; y d) Levantamiento de la veda nacional establecida para algunas especies de flora encontradas en el nuevo trazado ; este </w:t>
      </w:r>
      <w:r w:rsidR="003D7B07" w:rsidRPr="00AF47F0">
        <w:rPr>
          <w:lang w:val="es-ES_tradnl" w:eastAsia="es-MX"/>
        </w:rPr>
        <w:t>trámite</w:t>
      </w:r>
      <w:r w:rsidRPr="00AF47F0">
        <w:rPr>
          <w:lang w:val="es-ES_tradnl" w:eastAsia="es-MX"/>
        </w:rPr>
        <w:t xml:space="preserve"> se </w:t>
      </w:r>
      <w:r w:rsidR="0010726D" w:rsidRPr="00AF47F0">
        <w:rPr>
          <w:lang w:val="es-ES_tradnl" w:eastAsia="es-MX"/>
        </w:rPr>
        <w:t>gestionó</w:t>
      </w:r>
      <w:r w:rsidRPr="00AF47F0">
        <w:rPr>
          <w:rFonts w:hint="eastAsia"/>
          <w:lang w:val="es-ES_tradnl" w:eastAsia="es-MX"/>
        </w:rPr>
        <w:t>́</w:t>
      </w:r>
      <w:r w:rsidRPr="00AF47F0">
        <w:rPr>
          <w:lang w:val="es-ES_tradnl" w:eastAsia="es-MX"/>
        </w:rPr>
        <w:t xml:space="preserve"> ante la </w:t>
      </w:r>
      <w:r w:rsidR="003D7B07" w:rsidRPr="00AF47F0">
        <w:rPr>
          <w:lang w:val="es-ES_tradnl" w:eastAsia="es-MX"/>
        </w:rPr>
        <w:t>Dirección</w:t>
      </w:r>
      <w:r w:rsidRPr="00AF47F0">
        <w:rPr>
          <w:lang w:val="es-ES_tradnl" w:eastAsia="es-MX"/>
        </w:rPr>
        <w:t xml:space="preserve"> de Bosques Biodiversidad y Servicios </w:t>
      </w:r>
      <w:proofErr w:type="spellStart"/>
      <w:r w:rsidRPr="00AF47F0">
        <w:rPr>
          <w:lang w:val="es-ES_tradnl" w:eastAsia="es-MX"/>
        </w:rPr>
        <w:t>Ecosistémicos</w:t>
      </w:r>
      <w:proofErr w:type="spellEnd"/>
      <w:r w:rsidRPr="00AF47F0">
        <w:rPr>
          <w:lang w:val="es-ES_tradnl" w:eastAsia="es-MX"/>
        </w:rPr>
        <w:t xml:space="preserve"> - DBBSE del Ministerio de Ambiente y Desarrollo Sostenible -MADS-. </w:t>
      </w:r>
    </w:p>
    <w:p w14:paraId="00BFF2A4" w14:textId="2943374F" w:rsidR="00A451AE" w:rsidRPr="00A451AE" w:rsidRDefault="00A451AE">
      <w:pPr>
        <w:pStyle w:val="Cita"/>
        <w:numPr>
          <w:ilvl w:val="1"/>
          <w:numId w:val="5"/>
        </w:numPr>
        <w:ind w:left="1276" w:hanging="567"/>
        <w:rPr>
          <w:lang w:val="es-ES_tradnl" w:eastAsia="es-MX"/>
        </w:rPr>
      </w:pPr>
      <w:r w:rsidRPr="00A451AE">
        <w:rPr>
          <w:lang w:val="es-ES_tradnl" w:eastAsia="es-MX"/>
        </w:rPr>
        <w:t xml:space="preserve">Ramal Zona Industrial Cantagallo - Cantagallo: a) Permiso de </w:t>
      </w:r>
      <w:r w:rsidR="0033186A" w:rsidRPr="00A451AE">
        <w:rPr>
          <w:lang w:val="es-ES_tradnl" w:eastAsia="es-MX"/>
        </w:rPr>
        <w:t>Ocupación</w:t>
      </w:r>
      <w:r w:rsidRPr="00A451AE">
        <w:rPr>
          <w:lang w:val="es-ES_tradnl" w:eastAsia="es-MX"/>
        </w:rPr>
        <w:t xml:space="preserve"> de Cauces; ante la </w:t>
      </w:r>
      <w:r w:rsidR="0033186A" w:rsidRPr="00A451AE">
        <w:rPr>
          <w:lang w:val="es-ES_tradnl" w:eastAsia="es-MX"/>
        </w:rPr>
        <w:t>Corporación</w:t>
      </w:r>
      <w:r w:rsidRPr="00A451AE">
        <w:rPr>
          <w:lang w:val="es-ES_tradnl" w:eastAsia="es-MX"/>
        </w:rPr>
        <w:t xml:space="preserve"> </w:t>
      </w:r>
      <w:r w:rsidR="007424C6" w:rsidRPr="00A451AE">
        <w:rPr>
          <w:lang w:val="es-ES_tradnl" w:eastAsia="es-MX"/>
        </w:rPr>
        <w:t>Autónoma</w:t>
      </w:r>
      <w:r w:rsidRPr="00A451AE">
        <w:rPr>
          <w:lang w:val="es-ES_tradnl" w:eastAsia="es-MX"/>
        </w:rPr>
        <w:t xml:space="preserve"> Regional del Sur de </w:t>
      </w:r>
      <w:r w:rsidR="0033186A" w:rsidRPr="00A451AE">
        <w:rPr>
          <w:lang w:val="es-ES_tradnl" w:eastAsia="es-MX"/>
        </w:rPr>
        <w:t>Bolívar</w:t>
      </w:r>
      <w:r w:rsidRPr="00A451AE">
        <w:rPr>
          <w:lang w:val="es-ES_tradnl" w:eastAsia="es-MX"/>
        </w:rPr>
        <w:t xml:space="preserve"> -CSB-. Considerando las dimensiones (500 m) y </w:t>
      </w:r>
      <w:r w:rsidR="0033186A" w:rsidRPr="00A451AE">
        <w:rPr>
          <w:lang w:val="es-ES_tradnl" w:eastAsia="es-MX"/>
        </w:rPr>
        <w:t>características</w:t>
      </w:r>
      <w:r w:rsidRPr="00A451AE">
        <w:rPr>
          <w:lang w:val="es-ES_tradnl" w:eastAsia="es-MX"/>
        </w:rPr>
        <w:t xml:space="preserve"> </w:t>
      </w:r>
      <w:r w:rsidR="007424C6" w:rsidRPr="00A451AE">
        <w:rPr>
          <w:lang w:val="es-ES_tradnl" w:eastAsia="es-MX"/>
        </w:rPr>
        <w:t>técnicas</w:t>
      </w:r>
      <w:r w:rsidRPr="00A451AE">
        <w:rPr>
          <w:lang w:val="es-ES_tradnl" w:eastAsia="es-MX"/>
        </w:rPr>
        <w:t xml:space="preserve"> de este gasoducto; por estrategia constructiva y de eficiencia en costos su inicio estaba atado al inicio de la </w:t>
      </w:r>
      <w:r w:rsidR="0033186A" w:rsidRPr="00A451AE">
        <w:rPr>
          <w:lang w:val="es-ES_tradnl" w:eastAsia="es-MX"/>
        </w:rPr>
        <w:t>construcción</w:t>
      </w:r>
      <w:r w:rsidRPr="00A451AE">
        <w:rPr>
          <w:lang w:val="es-ES_tradnl" w:eastAsia="es-MX"/>
        </w:rPr>
        <w:t xml:space="preserve"> del Ramal Cantagallo-San Pablo. </w:t>
      </w:r>
    </w:p>
    <w:p w14:paraId="72BAFB49" w14:textId="1F774EDC" w:rsidR="00C1378E" w:rsidRPr="005B2F84" w:rsidRDefault="00A451AE" w:rsidP="005B2F84">
      <w:pPr>
        <w:pStyle w:val="Cita"/>
        <w:numPr>
          <w:ilvl w:val="1"/>
          <w:numId w:val="5"/>
        </w:numPr>
        <w:ind w:left="1276" w:hanging="567"/>
        <w:rPr>
          <w:lang w:val="es-ES_tradnl" w:eastAsia="es-MX"/>
        </w:rPr>
      </w:pPr>
      <w:r w:rsidRPr="00A451AE">
        <w:rPr>
          <w:lang w:val="es-ES_tradnl" w:eastAsia="es-MX"/>
        </w:rPr>
        <w:t xml:space="preserve">Ramal Cantagallo - San Pablo : a) Permiso de Aprovechamiento Forestal ; b) </w:t>
      </w:r>
      <w:r w:rsidR="002A3BEF" w:rsidRPr="00A451AE">
        <w:rPr>
          <w:lang w:val="es-ES_tradnl" w:eastAsia="es-MX"/>
        </w:rPr>
        <w:t>Concesión</w:t>
      </w:r>
      <w:r w:rsidRPr="00A451AE">
        <w:rPr>
          <w:lang w:val="es-ES_tradnl" w:eastAsia="es-MX"/>
        </w:rPr>
        <w:t xml:space="preserve"> de Aguas Superficiales; c) </w:t>
      </w:r>
      <w:r w:rsidR="0033186A" w:rsidRPr="00A451AE">
        <w:rPr>
          <w:lang w:val="es-ES_tradnl" w:eastAsia="es-MX"/>
        </w:rPr>
        <w:t>Ocupación</w:t>
      </w:r>
      <w:r w:rsidRPr="00A451AE">
        <w:rPr>
          <w:lang w:val="es-ES_tradnl" w:eastAsia="es-MX"/>
        </w:rPr>
        <w:t xml:space="preserve"> de Cauces; estas gestiones se realizaron ante la </w:t>
      </w:r>
      <w:r w:rsidR="0033186A" w:rsidRPr="00A451AE">
        <w:rPr>
          <w:lang w:val="es-ES_tradnl" w:eastAsia="es-MX"/>
        </w:rPr>
        <w:t>Corporación</w:t>
      </w:r>
      <w:r w:rsidRPr="00A451AE">
        <w:rPr>
          <w:lang w:val="es-ES_tradnl" w:eastAsia="es-MX"/>
        </w:rPr>
        <w:t xml:space="preserve"> </w:t>
      </w:r>
      <w:r w:rsidR="00244661" w:rsidRPr="00A451AE">
        <w:rPr>
          <w:lang w:val="es-ES_tradnl" w:eastAsia="es-MX"/>
        </w:rPr>
        <w:t>Autónoma</w:t>
      </w:r>
      <w:r w:rsidRPr="00A451AE">
        <w:rPr>
          <w:lang w:val="es-ES_tradnl" w:eastAsia="es-MX"/>
        </w:rPr>
        <w:t xml:space="preserve"> Regional del Sur de </w:t>
      </w:r>
      <w:r w:rsidR="00244661" w:rsidRPr="00A451AE">
        <w:rPr>
          <w:lang w:val="es-ES_tradnl" w:eastAsia="es-MX"/>
        </w:rPr>
        <w:t>Bolívar</w:t>
      </w:r>
      <w:r w:rsidRPr="00A451AE">
        <w:rPr>
          <w:lang w:val="es-ES_tradnl" w:eastAsia="es-MX"/>
        </w:rPr>
        <w:t xml:space="preserve"> -CSB-; d) Levantamiento de la veda nacional establecida para algunas especies de flora encontradas en el nuevo trazado ; e) </w:t>
      </w:r>
      <w:r w:rsidR="00244661" w:rsidRPr="00A451AE">
        <w:rPr>
          <w:lang w:val="es-ES_tradnl" w:eastAsia="es-MX"/>
        </w:rPr>
        <w:t>Sustracción</w:t>
      </w:r>
      <w:r w:rsidRPr="00A451AE">
        <w:rPr>
          <w:lang w:val="es-ES_tradnl" w:eastAsia="es-MX"/>
        </w:rPr>
        <w:t xml:space="preserve"> de la Reserva Forestal del </w:t>
      </w:r>
      <w:r w:rsidR="00244661" w:rsidRPr="00A451AE">
        <w:rPr>
          <w:lang w:val="es-ES_tradnl" w:eastAsia="es-MX"/>
        </w:rPr>
        <w:t>Río</w:t>
      </w:r>
      <w:r w:rsidRPr="00A451AE">
        <w:rPr>
          <w:lang w:val="es-ES_tradnl" w:eastAsia="es-MX"/>
        </w:rPr>
        <w:t xml:space="preserve"> Magdalena; ambos </w:t>
      </w:r>
      <w:r w:rsidR="00244661" w:rsidRPr="00A451AE">
        <w:rPr>
          <w:lang w:val="es-ES_tradnl" w:eastAsia="es-MX"/>
        </w:rPr>
        <w:t>trámites</w:t>
      </w:r>
      <w:r w:rsidRPr="00A451AE">
        <w:rPr>
          <w:lang w:val="es-ES_tradnl" w:eastAsia="es-MX"/>
        </w:rPr>
        <w:t xml:space="preserve"> realizados ante la </w:t>
      </w:r>
      <w:r w:rsidR="00244661" w:rsidRPr="00A451AE">
        <w:rPr>
          <w:lang w:val="es-ES_tradnl" w:eastAsia="es-MX"/>
        </w:rPr>
        <w:t>Dirección</w:t>
      </w:r>
      <w:r w:rsidRPr="00A451AE">
        <w:rPr>
          <w:lang w:val="es-ES_tradnl" w:eastAsia="es-MX"/>
        </w:rPr>
        <w:t xml:space="preserve"> de Bosques Biodiversidad y Servicios </w:t>
      </w:r>
      <w:r w:rsidR="00244661" w:rsidRPr="00A451AE">
        <w:rPr>
          <w:lang w:val="es-ES_tradnl" w:eastAsia="es-MX"/>
        </w:rPr>
        <w:t>Ecosistémicos</w:t>
      </w:r>
      <w:r w:rsidRPr="00A451AE">
        <w:rPr>
          <w:lang w:val="es-ES_tradnl" w:eastAsia="es-MX"/>
        </w:rPr>
        <w:t xml:space="preserve"> -DBBSE- del Ministerio de Ambiente y Desarrollo Sostenible -MADS-; y f) Permiso de </w:t>
      </w:r>
      <w:r w:rsidR="00B33437" w:rsidRPr="00A451AE">
        <w:rPr>
          <w:lang w:val="es-ES_tradnl" w:eastAsia="es-MX"/>
        </w:rPr>
        <w:t>ocupación</w:t>
      </w:r>
      <w:r w:rsidRPr="00A451AE">
        <w:rPr>
          <w:lang w:val="es-ES_tradnl" w:eastAsia="es-MX"/>
        </w:rPr>
        <w:t xml:space="preserve"> de bienes de uso </w:t>
      </w:r>
      <w:r w:rsidR="00B33437" w:rsidRPr="00A451AE">
        <w:rPr>
          <w:lang w:val="es-ES_tradnl" w:eastAsia="es-MX"/>
        </w:rPr>
        <w:t>público</w:t>
      </w:r>
      <w:r w:rsidRPr="00A451AE">
        <w:rPr>
          <w:lang w:val="es-ES_tradnl" w:eastAsia="es-MX"/>
        </w:rPr>
        <w:t xml:space="preserve"> por actividad no portuaria ante CORMAGDALENA. </w:t>
      </w:r>
    </w:p>
    <w:p w14:paraId="283E4FFB" w14:textId="66C363B3" w:rsidR="0098483A" w:rsidRPr="0089589F" w:rsidRDefault="007F5570" w:rsidP="001A3546">
      <w:pPr>
        <w:pStyle w:val="Cita"/>
        <w:numPr>
          <w:ilvl w:val="1"/>
          <w:numId w:val="5"/>
        </w:numPr>
        <w:ind w:left="1276" w:hanging="567"/>
        <w:rPr>
          <w:lang w:val="es-ES_tradnl" w:eastAsia="es-MX"/>
        </w:rPr>
      </w:pPr>
      <w:r w:rsidRPr="007F5570">
        <w:rPr>
          <w:lang w:val="es-ES_tradnl" w:eastAsia="es-MX"/>
        </w:rPr>
        <w:t xml:space="preserve">Es necesario tener en cuenta que la normativa que reglamenta este tipo de trámites y actuaciones administrativas no tiene definido un plazo para la evaluación de la solicitud y su resolución de fondo; es decir, con la negación o el otorgamiento de los permisos por parte de las CAR. Tales gestiones se desarrollan en el marco de la autonomía técnica y administrativa de dichas entidades. Por tanto, para la planeación del cronograma y ejecución de reposición de estos ramales, se entiende para los efectos que nos ocupan, que el plazo corresponde a un tiempo similar e incluso menor que el requerido para un licenciamiento ambiental, el cual por norma es fijado en aproximadamente 90 días </w:t>
      </w:r>
      <w:r w:rsidRPr="007F5570">
        <w:rPr>
          <w:lang w:val="es-ES_tradnl" w:eastAsia="es-MX"/>
        </w:rPr>
        <w:lastRenderedPageBreak/>
        <w:t>hábiles (4,5 meses aproximadamente) para los tiempos de evaluación a cargo de la autoridad competente.</w:t>
      </w:r>
    </w:p>
    <w:p w14:paraId="202FDC50" w14:textId="77777777" w:rsidR="00035DEC" w:rsidRDefault="0089589F" w:rsidP="001A3546">
      <w:pPr>
        <w:pStyle w:val="Cita"/>
        <w:numPr>
          <w:ilvl w:val="1"/>
          <w:numId w:val="5"/>
        </w:numPr>
        <w:ind w:left="1276" w:hanging="567"/>
        <w:rPr>
          <w:lang w:val="es-ES_tradnl" w:eastAsia="es-MX"/>
        </w:rPr>
      </w:pPr>
      <w:r w:rsidRPr="00035DEC">
        <w:rPr>
          <w:lang w:val="es-ES_tradnl" w:eastAsia="es-MX"/>
        </w:rPr>
        <w:t xml:space="preserve">Por su parte , en el marco del </w:t>
      </w:r>
      <w:r w:rsidR="009E2B72" w:rsidRPr="00035DEC">
        <w:rPr>
          <w:lang w:val="es-ES_tradnl" w:eastAsia="es-MX"/>
        </w:rPr>
        <w:t>artículo</w:t>
      </w:r>
      <w:r w:rsidRPr="00035DEC">
        <w:rPr>
          <w:lang w:val="es-ES_tradnl" w:eastAsia="es-MX"/>
        </w:rPr>
        <w:t xml:space="preserve"> 240 del Decreto - Ley 2811 de 1974 (</w:t>
      </w:r>
      <w:r w:rsidR="00C534D8" w:rsidRPr="00035DEC">
        <w:rPr>
          <w:lang w:val="es-ES_tradnl" w:eastAsia="es-MX"/>
        </w:rPr>
        <w:t>Código</w:t>
      </w:r>
      <w:r w:rsidRPr="00035DEC">
        <w:rPr>
          <w:lang w:val="es-ES_tradnl" w:eastAsia="es-MX"/>
        </w:rPr>
        <w:t xml:space="preserve"> Nacional de Recursos Naturales), a </w:t>
      </w:r>
      <w:r w:rsidR="00C534D8" w:rsidRPr="00035DEC">
        <w:rPr>
          <w:lang w:val="es-ES_tradnl" w:eastAsia="es-MX"/>
        </w:rPr>
        <w:t>través</w:t>
      </w:r>
      <w:r w:rsidRPr="00035DEC">
        <w:rPr>
          <w:lang w:val="es-ES_tradnl" w:eastAsia="es-MX"/>
        </w:rPr>
        <w:t xml:space="preserve"> de la </w:t>
      </w:r>
      <w:r w:rsidR="00C534D8" w:rsidRPr="00035DEC">
        <w:rPr>
          <w:lang w:val="es-ES_tradnl" w:eastAsia="es-MX"/>
        </w:rPr>
        <w:t>Resolución</w:t>
      </w:r>
      <w:r w:rsidRPr="00035DEC">
        <w:rPr>
          <w:lang w:val="es-ES_tradnl" w:eastAsia="es-MX"/>
        </w:rPr>
        <w:t xml:space="preserve"> No. 213 de 1977 del INDERENA, se </w:t>
      </w:r>
      <w:r w:rsidR="00C534D8" w:rsidRPr="00035DEC">
        <w:rPr>
          <w:lang w:val="es-ES_tradnl" w:eastAsia="es-MX"/>
        </w:rPr>
        <w:t>estableció</w:t>
      </w:r>
      <w:r w:rsidRPr="00035DEC">
        <w:rPr>
          <w:lang w:val="es-ES_tradnl" w:eastAsia="es-MX"/>
        </w:rPr>
        <w:t xml:space="preserve">́ la veda en todo el territorio nacional para el aprovechamiento, transporte y </w:t>
      </w:r>
      <w:r w:rsidR="00C534D8" w:rsidRPr="00035DEC">
        <w:rPr>
          <w:lang w:val="es-ES_tradnl" w:eastAsia="es-MX"/>
        </w:rPr>
        <w:t>comercialización</w:t>
      </w:r>
      <w:r w:rsidRPr="00035DEC">
        <w:rPr>
          <w:lang w:val="es-ES_tradnl" w:eastAsia="es-MX"/>
        </w:rPr>
        <w:t xml:space="preserve"> de las especies de musgos , </w:t>
      </w:r>
      <w:r w:rsidR="00515A4F" w:rsidRPr="00035DEC">
        <w:rPr>
          <w:lang w:val="es-ES_tradnl" w:eastAsia="es-MX"/>
        </w:rPr>
        <w:t>líquenes</w:t>
      </w:r>
      <w:r w:rsidRPr="00035DEC">
        <w:rPr>
          <w:lang w:val="es-ES_tradnl" w:eastAsia="es-MX"/>
        </w:rPr>
        <w:t xml:space="preserve"> , lamas , </w:t>
      </w:r>
      <w:r w:rsidR="00515A4F" w:rsidRPr="00035DEC">
        <w:rPr>
          <w:lang w:val="es-ES_tradnl" w:eastAsia="es-MX"/>
        </w:rPr>
        <w:t>parásitas</w:t>
      </w:r>
      <w:r w:rsidRPr="00035DEC">
        <w:rPr>
          <w:lang w:val="es-ES_tradnl" w:eastAsia="es-MX"/>
        </w:rPr>
        <w:t xml:space="preserve">, quiches , </w:t>
      </w:r>
      <w:r w:rsidR="00515A4F" w:rsidRPr="00035DEC">
        <w:rPr>
          <w:lang w:val="es-ES_tradnl" w:eastAsia="es-MX"/>
        </w:rPr>
        <w:t>orquídeas</w:t>
      </w:r>
      <w:r w:rsidRPr="00035DEC">
        <w:rPr>
          <w:lang w:val="es-ES_tradnl" w:eastAsia="es-MX"/>
        </w:rPr>
        <w:t xml:space="preserve">, entre otras; las cuales requieren el levantamiento de veda, previo a la </w:t>
      </w:r>
      <w:r w:rsidR="00515A4F" w:rsidRPr="00035DEC">
        <w:rPr>
          <w:lang w:val="es-ES_tradnl" w:eastAsia="es-MX"/>
        </w:rPr>
        <w:t>autorización</w:t>
      </w:r>
      <w:r w:rsidRPr="00035DEC">
        <w:rPr>
          <w:lang w:val="es-ES_tradnl" w:eastAsia="es-MX"/>
        </w:rPr>
        <w:t xml:space="preserve"> para el aprovechamiento de los ejemplares o sustratos donde se hospedan. Tal competencia para la </w:t>
      </w:r>
      <w:r w:rsidR="00515A4F" w:rsidRPr="00035DEC">
        <w:rPr>
          <w:lang w:val="es-ES_tradnl" w:eastAsia="es-MX"/>
        </w:rPr>
        <w:t>época</w:t>
      </w:r>
      <w:r w:rsidRPr="00035DEC">
        <w:rPr>
          <w:lang w:val="es-ES_tradnl" w:eastAsia="es-MX"/>
        </w:rPr>
        <w:t xml:space="preserve"> de los </w:t>
      </w:r>
      <w:r w:rsidR="00596208" w:rsidRPr="00035DEC">
        <w:rPr>
          <w:lang w:val="es-ES_tradnl" w:eastAsia="es-MX"/>
        </w:rPr>
        <w:t>trámites</w:t>
      </w:r>
      <w:r w:rsidRPr="00035DEC">
        <w:rPr>
          <w:lang w:val="es-ES_tradnl" w:eastAsia="es-MX"/>
        </w:rPr>
        <w:t xml:space="preserve"> ambientales del proyecto se encontraba en cabeza de la </w:t>
      </w:r>
      <w:r w:rsidR="00596208" w:rsidRPr="00035DEC">
        <w:rPr>
          <w:lang w:val="es-ES_tradnl" w:eastAsia="es-MX"/>
        </w:rPr>
        <w:t>Dirección</w:t>
      </w:r>
      <w:r w:rsidRPr="00035DEC">
        <w:rPr>
          <w:lang w:val="es-ES_tradnl" w:eastAsia="es-MX"/>
        </w:rPr>
        <w:t xml:space="preserve"> de Bosques, Biodiversidad y Servicios </w:t>
      </w:r>
      <w:r w:rsidR="00596208" w:rsidRPr="00035DEC">
        <w:rPr>
          <w:lang w:val="es-ES_tradnl" w:eastAsia="es-MX"/>
        </w:rPr>
        <w:t>Ecosistémicos</w:t>
      </w:r>
      <w:r w:rsidRPr="00035DEC">
        <w:rPr>
          <w:lang w:val="es-ES_tradnl" w:eastAsia="es-MX"/>
        </w:rPr>
        <w:t xml:space="preserve"> -DBBSE- del Ministerio de Ambiente y Desarrollo Sostenible -MADS</w:t>
      </w:r>
      <w:r w:rsidR="00CC538E" w:rsidRPr="00035DEC">
        <w:rPr>
          <w:lang w:val="es-ES_tradnl" w:eastAsia="es-MX"/>
        </w:rPr>
        <w:t>-,</w:t>
      </w:r>
      <w:r w:rsidRPr="00035DEC">
        <w:rPr>
          <w:lang w:val="es-ES_tradnl" w:eastAsia="es-MX"/>
        </w:rPr>
        <w:t xml:space="preserve"> delegada mediante el Decreto Ley </w:t>
      </w:r>
      <w:r w:rsidR="0010726D" w:rsidRPr="00035DEC">
        <w:rPr>
          <w:lang w:val="es-ES_tradnl" w:eastAsia="es-MX"/>
        </w:rPr>
        <w:t>No.</w:t>
      </w:r>
      <w:r w:rsidRPr="00035DEC">
        <w:rPr>
          <w:lang w:val="es-ES_tradnl" w:eastAsia="es-MX"/>
        </w:rPr>
        <w:t xml:space="preserve"> 3570 del 27 de septiembre de </w:t>
      </w:r>
      <w:r w:rsidR="00CC538E" w:rsidRPr="00035DEC">
        <w:rPr>
          <w:lang w:val="es-ES_tradnl" w:eastAsia="es-MX"/>
        </w:rPr>
        <w:t>2011;</w:t>
      </w:r>
      <w:r w:rsidRPr="00035DEC">
        <w:rPr>
          <w:lang w:val="es-ES_tradnl" w:eastAsia="es-MX"/>
        </w:rPr>
        <w:t xml:space="preserve"> y quien en su </w:t>
      </w:r>
      <w:r w:rsidR="00596208" w:rsidRPr="00035DEC">
        <w:rPr>
          <w:lang w:val="es-ES_tradnl" w:eastAsia="es-MX"/>
        </w:rPr>
        <w:t>página</w:t>
      </w:r>
      <w:r w:rsidRPr="00035DEC">
        <w:rPr>
          <w:lang w:val="es-ES_tradnl" w:eastAsia="es-MX"/>
        </w:rPr>
        <w:t xml:space="preserve"> web establece que para este </w:t>
      </w:r>
      <w:r w:rsidR="004A6C05" w:rsidRPr="00035DEC">
        <w:rPr>
          <w:lang w:val="es-ES_tradnl" w:eastAsia="es-MX"/>
        </w:rPr>
        <w:t>trámite</w:t>
      </w:r>
      <w:r w:rsidRPr="00035DEC">
        <w:rPr>
          <w:lang w:val="es-ES_tradnl" w:eastAsia="es-MX"/>
        </w:rPr>
        <w:t xml:space="preserve"> se requieren 62 </w:t>
      </w:r>
      <w:r w:rsidR="004A6C05" w:rsidRPr="00035DEC">
        <w:rPr>
          <w:lang w:val="es-ES_tradnl" w:eastAsia="es-MX"/>
        </w:rPr>
        <w:t>días</w:t>
      </w:r>
      <w:r w:rsidRPr="00035DEC">
        <w:rPr>
          <w:lang w:val="es-ES_tradnl" w:eastAsia="es-MX"/>
        </w:rPr>
        <w:t xml:space="preserve"> </w:t>
      </w:r>
      <w:r w:rsidR="004A6C05" w:rsidRPr="00035DEC">
        <w:rPr>
          <w:lang w:val="es-ES_tradnl" w:eastAsia="es-MX"/>
        </w:rPr>
        <w:t>hábiles</w:t>
      </w:r>
      <w:r w:rsidRPr="00035DEC">
        <w:rPr>
          <w:lang w:val="es-ES_tradnl" w:eastAsia="es-MX"/>
        </w:rPr>
        <w:t xml:space="preserve"> (3 meses aproximadamente) para su </w:t>
      </w:r>
      <w:r w:rsidR="004A6C05" w:rsidRPr="00035DEC">
        <w:rPr>
          <w:lang w:val="es-ES_tradnl" w:eastAsia="es-MX"/>
        </w:rPr>
        <w:t>evaluación</w:t>
      </w:r>
      <w:r w:rsidRPr="00035DEC">
        <w:rPr>
          <w:lang w:val="es-ES_tradnl" w:eastAsia="es-MX"/>
        </w:rPr>
        <w:t xml:space="preserve">. </w:t>
      </w:r>
    </w:p>
    <w:p w14:paraId="5748DDB8" w14:textId="78D1B594" w:rsidR="0089589F" w:rsidRPr="00035DEC" w:rsidRDefault="0089589F" w:rsidP="001A3546">
      <w:pPr>
        <w:pStyle w:val="Cita"/>
        <w:ind w:left="1276"/>
        <w:rPr>
          <w:lang w:val="es-ES_tradnl" w:eastAsia="es-MX"/>
        </w:rPr>
      </w:pPr>
      <w:r w:rsidRPr="00035DEC">
        <w:rPr>
          <w:lang w:val="es-ES_tradnl" w:eastAsia="es-MX"/>
        </w:rPr>
        <w:t xml:space="preserve">De esta forma, dentro del escenario inicialmente contemplado para la puesta en </w:t>
      </w:r>
      <w:r w:rsidR="004A6C05" w:rsidRPr="00035DEC">
        <w:rPr>
          <w:lang w:val="es-ES_tradnl" w:eastAsia="es-MX"/>
        </w:rPr>
        <w:t>operación</w:t>
      </w:r>
      <w:r w:rsidRPr="00035DEC">
        <w:rPr>
          <w:lang w:val="es-ES_tradnl" w:eastAsia="es-MX"/>
        </w:rPr>
        <w:t xml:space="preserve"> de los proyectos, se </w:t>
      </w:r>
      <w:r w:rsidR="00CC538E" w:rsidRPr="00035DEC">
        <w:rPr>
          <w:lang w:val="es-ES_tradnl" w:eastAsia="es-MX"/>
        </w:rPr>
        <w:t>consideró</w:t>
      </w:r>
      <w:r w:rsidRPr="00035DEC">
        <w:rPr>
          <w:lang w:val="es-ES_tradnl" w:eastAsia="es-MX"/>
        </w:rPr>
        <w:t xml:space="preserve">́ que el plazo en el otorgamiento de permisos ambientales </w:t>
      </w:r>
      <w:r w:rsidR="004A6C05" w:rsidRPr="00035DEC">
        <w:rPr>
          <w:lang w:val="es-ES_tradnl" w:eastAsia="es-MX"/>
        </w:rPr>
        <w:t>seria</w:t>
      </w:r>
      <w:r w:rsidRPr="00035DEC">
        <w:rPr>
          <w:lang w:val="es-ES_tradnl" w:eastAsia="es-MX"/>
        </w:rPr>
        <w:t xml:space="preserve"> de alrededor de 5 meses, plazo que fue excedido, y en algunos casos llegó a estar cerca a los 19 meses. Es decir, 14 meses adicionales, a pesar de la debida diligencia adelantada por TGI durante todos los </w:t>
      </w:r>
      <w:r w:rsidR="004A6C05" w:rsidRPr="00035DEC">
        <w:rPr>
          <w:lang w:val="es-ES_tradnl" w:eastAsia="es-MX"/>
        </w:rPr>
        <w:t>trámites</w:t>
      </w:r>
      <w:r w:rsidRPr="00035DEC">
        <w:rPr>
          <w:lang w:val="es-ES_tradnl" w:eastAsia="es-MX"/>
        </w:rPr>
        <w:t xml:space="preserve">. Tales actividades se realizaron mediante reiteraciones escritas, diversas reuniones y citas adelantadas con cada autoridad como se soporta en los anexos; exhortando </w:t>
      </w:r>
      <w:r w:rsidR="00A34421" w:rsidRPr="00035DEC">
        <w:rPr>
          <w:lang w:val="es-ES_tradnl" w:eastAsia="es-MX"/>
        </w:rPr>
        <w:t>además</w:t>
      </w:r>
      <w:r w:rsidRPr="00035DEC">
        <w:rPr>
          <w:lang w:val="es-ES_tradnl" w:eastAsia="es-MX"/>
        </w:rPr>
        <w:t xml:space="preserve"> la relevancia del tema por tratarse de la </w:t>
      </w:r>
      <w:r w:rsidR="00A34421" w:rsidRPr="00035DEC">
        <w:rPr>
          <w:lang w:val="es-ES_tradnl" w:eastAsia="es-MX"/>
        </w:rPr>
        <w:t>prestación</w:t>
      </w:r>
      <w:r w:rsidRPr="00035DEC">
        <w:rPr>
          <w:lang w:val="es-ES_tradnl" w:eastAsia="es-MX"/>
        </w:rPr>
        <w:t xml:space="preserve"> de un servicio </w:t>
      </w:r>
      <w:r w:rsidR="00A34421" w:rsidRPr="00035DEC">
        <w:rPr>
          <w:lang w:val="es-ES_tradnl" w:eastAsia="es-MX"/>
        </w:rPr>
        <w:t>público</w:t>
      </w:r>
      <w:r w:rsidRPr="00035DEC">
        <w:rPr>
          <w:lang w:val="es-ES_tradnl" w:eastAsia="es-MX"/>
        </w:rPr>
        <w:t xml:space="preserve">. </w:t>
      </w:r>
    </w:p>
    <w:p w14:paraId="216EB05D" w14:textId="2A306252" w:rsidR="0089589F" w:rsidRPr="0089589F" w:rsidRDefault="0089589F" w:rsidP="001A3546">
      <w:pPr>
        <w:pStyle w:val="Cita"/>
        <w:numPr>
          <w:ilvl w:val="1"/>
          <w:numId w:val="5"/>
        </w:numPr>
        <w:ind w:left="1276" w:hanging="425"/>
        <w:rPr>
          <w:lang w:val="es-ES_tradnl" w:eastAsia="es-MX"/>
        </w:rPr>
      </w:pPr>
      <w:r w:rsidRPr="0089589F">
        <w:rPr>
          <w:lang w:val="es-ES_tradnl" w:eastAsia="es-MX"/>
        </w:rPr>
        <w:t xml:space="preserve">Adicionalmente a lo indicado en los </w:t>
      </w:r>
      <w:r w:rsidR="00A34421" w:rsidRPr="0089589F">
        <w:rPr>
          <w:lang w:val="es-ES_tradnl" w:eastAsia="es-MX"/>
        </w:rPr>
        <w:t>acápites</w:t>
      </w:r>
      <w:r w:rsidRPr="0089589F">
        <w:rPr>
          <w:lang w:val="es-ES_tradnl" w:eastAsia="es-MX"/>
        </w:rPr>
        <w:t xml:space="preserve"> anteriores, lo cual desborda cualquier planeamiento del cronograma inicial para la </w:t>
      </w:r>
      <w:r w:rsidR="00A34421" w:rsidRPr="0089589F">
        <w:rPr>
          <w:lang w:val="es-ES_tradnl" w:eastAsia="es-MX"/>
        </w:rPr>
        <w:t>reposición</w:t>
      </w:r>
      <w:r w:rsidRPr="0089589F">
        <w:rPr>
          <w:lang w:val="es-ES_tradnl" w:eastAsia="es-MX"/>
        </w:rPr>
        <w:t xml:space="preserve"> de estos ramales, en el caso del Levantamiento de Veda se </w:t>
      </w:r>
      <w:r w:rsidR="00A34421" w:rsidRPr="0089589F">
        <w:rPr>
          <w:lang w:val="es-ES_tradnl" w:eastAsia="es-MX"/>
        </w:rPr>
        <w:t>expidió</w:t>
      </w:r>
      <w:r w:rsidRPr="0089589F">
        <w:rPr>
          <w:lang w:val="es-ES_tradnl" w:eastAsia="es-MX"/>
        </w:rPr>
        <w:t xml:space="preserve">́ la </w:t>
      </w:r>
      <w:r w:rsidR="002A3BEF" w:rsidRPr="0089589F">
        <w:rPr>
          <w:lang w:val="es-ES_tradnl" w:eastAsia="es-MX"/>
        </w:rPr>
        <w:t>autorización</w:t>
      </w:r>
      <w:r w:rsidRPr="0089589F">
        <w:rPr>
          <w:lang w:val="es-ES_tradnl" w:eastAsia="es-MX"/>
        </w:rPr>
        <w:t xml:space="preserve"> condicionada mediante la </w:t>
      </w:r>
      <w:r w:rsidR="00A34421" w:rsidRPr="0089589F">
        <w:rPr>
          <w:lang w:val="es-ES_tradnl" w:eastAsia="es-MX"/>
        </w:rPr>
        <w:t>Resolución</w:t>
      </w:r>
      <w:r w:rsidRPr="0089589F">
        <w:rPr>
          <w:lang w:val="es-ES_tradnl" w:eastAsia="es-MX"/>
        </w:rPr>
        <w:t xml:space="preserve"> 257 del 5 de marzo de 2019. Esta </w:t>
      </w:r>
      <w:r w:rsidR="00A34421" w:rsidRPr="0089589F">
        <w:rPr>
          <w:lang w:val="es-ES_tradnl" w:eastAsia="es-MX"/>
        </w:rPr>
        <w:t>condición</w:t>
      </w:r>
      <w:r w:rsidRPr="0089589F">
        <w:rPr>
          <w:lang w:val="es-ES_tradnl" w:eastAsia="es-MX"/>
        </w:rPr>
        <w:t xml:space="preserve"> se impuso a pesar de haber tenido la DBBSE 18 meses de </w:t>
      </w:r>
      <w:r w:rsidR="00A34421" w:rsidRPr="0089589F">
        <w:rPr>
          <w:lang w:val="es-ES_tradnl" w:eastAsia="es-MX"/>
        </w:rPr>
        <w:t>trámite</w:t>
      </w:r>
      <w:r w:rsidRPr="0089589F">
        <w:rPr>
          <w:lang w:val="es-ES_tradnl" w:eastAsia="es-MX"/>
        </w:rPr>
        <w:t xml:space="preserve"> para la debida </w:t>
      </w:r>
      <w:r w:rsidR="00A34421" w:rsidRPr="0089589F">
        <w:rPr>
          <w:lang w:val="es-ES_tradnl" w:eastAsia="es-MX"/>
        </w:rPr>
        <w:t>evaluación</w:t>
      </w:r>
      <w:r w:rsidRPr="0089589F">
        <w:rPr>
          <w:lang w:val="es-ES_tradnl" w:eastAsia="es-MX"/>
        </w:rPr>
        <w:t xml:space="preserve"> y </w:t>
      </w:r>
      <w:r w:rsidR="00A34421" w:rsidRPr="0089589F">
        <w:rPr>
          <w:lang w:val="es-ES_tradnl" w:eastAsia="es-MX"/>
        </w:rPr>
        <w:t>petición</w:t>
      </w:r>
      <w:r w:rsidRPr="0089589F">
        <w:rPr>
          <w:lang w:val="es-ES_tradnl" w:eastAsia="es-MX"/>
        </w:rPr>
        <w:t xml:space="preserve"> de </w:t>
      </w:r>
      <w:r w:rsidR="00E359EE" w:rsidRPr="0089589F">
        <w:rPr>
          <w:lang w:val="es-ES_tradnl" w:eastAsia="es-MX"/>
        </w:rPr>
        <w:t>información</w:t>
      </w:r>
      <w:r w:rsidRPr="0089589F">
        <w:rPr>
          <w:lang w:val="es-ES_tradnl" w:eastAsia="es-MX"/>
        </w:rPr>
        <w:t xml:space="preserve"> que considerara necesaria a TGI (13 meses </w:t>
      </w:r>
      <w:r w:rsidR="00E359EE" w:rsidRPr="0089589F">
        <w:rPr>
          <w:lang w:val="es-ES_tradnl" w:eastAsia="es-MX"/>
        </w:rPr>
        <w:t>más</w:t>
      </w:r>
      <w:r w:rsidRPr="0089589F">
        <w:rPr>
          <w:lang w:val="es-ES_tradnl" w:eastAsia="es-MX"/>
        </w:rPr>
        <w:t xml:space="preserve"> de lo planeado). La </w:t>
      </w:r>
      <w:r w:rsidR="00E359EE" w:rsidRPr="0089589F">
        <w:rPr>
          <w:lang w:val="es-ES_tradnl" w:eastAsia="es-MX"/>
        </w:rPr>
        <w:t>determinación</w:t>
      </w:r>
      <w:r w:rsidRPr="0089589F">
        <w:rPr>
          <w:lang w:val="es-ES_tradnl" w:eastAsia="es-MX"/>
        </w:rPr>
        <w:t xml:space="preserve"> se impuso mediante el </w:t>
      </w:r>
      <w:r w:rsidR="00E359EE" w:rsidRPr="0089589F">
        <w:rPr>
          <w:lang w:val="es-ES_tradnl" w:eastAsia="es-MX"/>
        </w:rPr>
        <w:t>Artículo</w:t>
      </w:r>
      <w:r w:rsidRPr="0089589F">
        <w:rPr>
          <w:lang w:val="es-ES_tradnl" w:eastAsia="es-MX"/>
        </w:rPr>
        <w:t xml:space="preserve"> Sexto de dicha </w:t>
      </w:r>
      <w:r w:rsidR="00E359EE" w:rsidRPr="0089589F">
        <w:rPr>
          <w:lang w:val="es-ES_tradnl" w:eastAsia="es-MX"/>
        </w:rPr>
        <w:t>resolución</w:t>
      </w:r>
      <w:r w:rsidRPr="0089589F">
        <w:rPr>
          <w:lang w:val="es-ES_tradnl" w:eastAsia="es-MX"/>
        </w:rPr>
        <w:t xml:space="preserve">, la cual condicionó la </w:t>
      </w:r>
      <w:r w:rsidR="00E359EE" w:rsidRPr="0089589F">
        <w:rPr>
          <w:lang w:val="es-ES_tradnl" w:eastAsia="es-MX"/>
        </w:rPr>
        <w:t>intervención</w:t>
      </w:r>
      <w:r w:rsidRPr="0089589F">
        <w:rPr>
          <w:lang w:val="es-ES_tradnl" w:eastAsia="es-MX"/>
        </w:rPr>
        <w:t xml:space="preserve"> de TGI a la </w:t>
      </w:r>
      <w:r w:rsidR="00E359EE" w:rsidRPr="0089589F">
        <w:rPr>
          <w:lang w:val="es-ES_tradnl" w:eastAsia="es-MX"/>
        </w:rPr>
        <w:t>presentación</w:t>
      </w:r>
      <w:r w:rsidRPr="0089589F">
        <w:rPr>
          <w:lang w:val="es-ES_tradnl" w:eastAsia="es-MX"/>
        </w:rPr>
        <w:t xml:space="preserve">, </w:t>
      </w:r>
      <w:r w:rsidR="00E359EE" w:rsidRPr="0089589F">
        <w:rPr>
          <w:lang w:val="es-ES_tradnl" w:eastAsia="es-MX"/>
        </w:rPr>
        <w:t>evaluación</w:t>
      </w:r>
      <w:r w:rsidRPr="0089589F">
        <w:rPr>
          <w:lang w:val="es-ES_tradnl" w:eastAsia="es-MX"/>
        </w:rPr>
        <w:t xml:space="preserve"> y aval previo, de un informe adicional y </w:t>
      </w:r>
      <w:r w:rsidR="00E359EE" w:rsidRPr="0089589F">
        <w:rPr>
          <w:lang w:val="es-ES_tradnl" w:eastAsia="es-MX"/>
        </w:rPr>
        <w:t>más</w:t>
      </w:r>
      <w:r w:rsidRPr="0089589F">
        <w:rPr>
          <w:lang w:val="es-ES_tradnl" w:eastAsia="es-MX"/>
        </w:rPr>
        <w:t xml:space="preserve"> detallado de las especies a intervenir; </w:t>
      </w:r>
      <w:r w:rsidR="00E359EE" w:rsidRPr="0089589F">
        <w:rPr>
          <w:lang w:val="es-ES_tradnl" w:eastAsia="es-MX"/>
        </w:rPr>
        <w:t>además</w:t>
      </w:r>
      <w:r w:rsidRPr="0089589F">
        <w:rPr>
          <w:lang w:val="es-ES_tradnl" w:eastAsia="es-MX"/>
        </w:rPr>
        <w:t xml:space="preserve"> de la </w:t>
      </w:r>
      <w:r w:rsidR="00E359EE" w:rsidRPr="0089589F">
        <w:rPr>
          <w:lang w:val="es-ES_tradnl" w:eastAsia="es-MX"/>
        </w:rPr>
        <w:t>caracterización</w:t>
      </w:r>
      <w:r w:rsidRPr="0089589F">
        <w:rPr>
          <w:lang w:val="es-ES_tradnl" w:eastAsia="es-MX"/>
        </w:rPr>
        <w:t xml:space="preserve"> de las </w:t>
      </w:r>
      <w:r w:rsidR="00E359EE" w:rsidRPr="0089589F">
        <w:rPr>
          <w:lang w:val="es-ES_tradnl" w:eastAsia="es-MX"/>
        </w:rPr>
        <w:t>áreas</w:t>
      </w:r>
      <w:r w:rsidRPr="0089589F">
        <w:rPr>
          <w:lang w:val="es-ES_tradnl" w:eastAsia="es-MX"/>
        </w:rPr>
        <w:t xml:space="preserve"> donde se </w:t>
      </w:r>
      <w:r w:rsidR="001537B8" w:rsidRPr="0089589F">
        <w:rPr>
          <w:lang w:val="es-ES_tradnl" w:eastAsia="es-MX"/>
        </w:rPr>
        <w:t>realizarían</w:t>
      </w:r>
      <w:r w:rsidRPr="0089589F">
        <w:rPr>
          <w:lang w:val="es-ES_tradnl" w:eastAsia="es-MX"/>
        </w:rPr>
        <w:t xml:space="preserve"> las medidas de rescate y </w:t>
      </w:r>
      <w:r w:rsidR="001537B8" w:rsidRPr="0089589F">
        <w:rPr>
          <w:lang w:val="es-ES_tradnl" w:eastAsia="es-MX"/>
        </w:rPr>
        <w:t>reubicación</w:t>
      </w:r>
      <w:r w:rsidRPr="0089589F">
        <w:rPr>
          <w:lang w:val="es-ES_tradnl" w:eastAsia="es-MX"/>
        </w:rPr>
        <w:t xml:space="preserve"> de los individuos de estas especies de flora. Tal documento y aval </w:t>
      </w:r>
      <w:r w:rsidR="001537B8" w:rsidRPr="0089589F">
        <w:rPr>
          <w:lang w:val="es-ES_tradnl" w:eastAsia="es-MX"/>
        </w:rPr>
        <w:t>debía</w:t>
      </w:r>
      <w:r w:rsidRPr="0089589F">
        <w:rPr>
          <w:lang w:val="es-ES_tradnl" w:eastAsia="es-MX"/>
        </w:rPr>
        <w:t xml:space="preserve"> obtenerse antes de la </w:t>
      </w:r>
      <w:r w:rsidR="001537B8" w:rsidRPr="0089589F">
        <w:rPr>
          <w:lang w:val="es-ES_tradnl" w:eastAsia="es-MX"/>
        </w:rPr>
        <w:t>remoción</w:t>
      </w:r>
      <w:r w:rsidRPr="0089589F">
        <w:rPr>
          <w:lang w:val="es-ES_tradnl" w:eastAsia="es-MX"/>
        </w:rPr>
        <w:t xml:space="preserve"> de la cobertura vegetal, actividad requerida para la apertura del derecho de </w:t>
      </w:r>
      <w:r w:rsidR="001537B8" w:rsidRPr="0089589F">
        <w:rPr>
          <w:lang w:val="es-ES_tradnl" w:eastAsia="es-MX"/>
        </w:rPr>
        <w:t>vía</w:t>
      </w:r>
      <w:r w:rsidRPr="0089589F">
        <w:rPr>
          <w:lang w:val="es-ES_tradnl" w:eastAsia="es-MX"/>
        </w:rPr>
        <w:t xml:space="preserve"> del nuevo trazado de estos ramales, para luego proceder con el tendido de </w:t>
      </w:r>
      <w:r w:rsidR="001537B8" w:rsidRPr="0089589F">
        <w:rPr>
          <w:lang w:val="es-ES_tradnl" w:eastAsia="es-MX"/>
        </w:rPr>
        <w:t>tubería</w:t>
      </w:r>
      <w:r w:rsidRPr="0089589F">
        <w:rPr>
          <w:lang w:val="es-ES_tradnl" w:eastAsia="es-MX"/>
        </w:rPr>
        <w:t xml:space="preserve">. Dicho informe que </w:t>
      </w:r>
      <w:r w:rsidR="001537B8" w:rsidRPr="0089589F">
        <w:rPr>
          <w:lang w:val="es-ES_tradnl" w:eastAsia="es-MX"/>
        </w:rPr>
        <w:t>requirió</w:t>
      </w:r>
      <w:r w:rsidRPr="0089589F">
        <w:rPr>
          <w:lang w:val="es-ES_tradnl" w:eastAsia="es-MX"/>
        </w:rPr>
        <w:t xml:space="preserve">́ de una </w:t>
      </w:r>
      <w:r w:rsidR="002A3BEF" w:rsidRPr="0089589F">
        <w:rPr>
          <w:lang w:val="es-ES_tradnl" w:eastAsia="es-MX"/>
        </w:rPr>
        <w:t>gestión</w:t>
      </w:r>
      <w:r w:rsidRPr="0089589F">
        <w:rPr>
          <w:lang w:val="es-ES_tradnl" w:eastAsia="es-MX"/>
        </w:rPr>
        <w:t xml:space="preserve"> administrativa y </w:t>
      </w:r>
      <w:r w:rsidR="001537B8" w:rsidRPr="0089589F">
        <w:rPr>
          <w:lang w:val="es-ES_tradnl" w:eastAsia="es-MX"/>
        </w:rPr>
        <w:t>técnica</w:t>
      </w:r>
      <w:r w:rsidRPr="0089589F">
        <w:rPr>
          <w:lang w:val="es-ES_tradnl" w:eastAsia="es-MX"/>
        </w:rPr>
        <w:t xml:space="preserve"> adicional, fue presentado el 31 de mayo de 2019 a la DBBSE del MADS, quien </w:t>
      </w:r>
      <w:r w:rsidR="001537B8" w:rsidRPr="0089589F">
        <w:rPr>
          <w:lang w:val="es-ES_tradnl" w:eastAsia="es-MX"/>
        </w:rPr>
        <w:t>emitió</w:t>
      </w:r>
      <w:r w:rsidRPr="0089589F">
        <w:rPr>
          <w:lang w:val="es-ES_tradnl" w:eastAsia="es-MX"/>
        </w:rPr>
        <w:t xml:space="preserve">́ el Auto 421 el 2 de octubre 2019, dando </w:t>
      </w:r>
      <w:r w:rsidR="001537B8" w:rsidRPr="0089589F">
        <w:rPr>
          <w:lang w:val="es-ES_tradnl" w:eastAsia="es-MX"/>
        </w:rPr>
        <w:t>así</w:t>
      </w:r>
      <w:r w:rsidRPr="0089589F">
        <w:rPr>
          <w:lang w:val="es-ES_tradnl" w:eastAsia="es-MX"/>
        </w:rPr>
        <w:t xml:space="preserve">́ finalmente el aval de las actividades para el manejo de las vedas. </w:t>
      </w:r>
      <w:r w:rsidR="00F84A1F">
        <w:rPr>
          <w:lang w:val="es-ES_tradnl" w:eastAsia="es-MX"/>
        </w:rPr>
        <w:t>(…)</w:t>
      </w:r>
    </w:p>
    <w:p w14:paraId="2D5CCE09" w14:textId="77777777" w:rsidR="00DA395E" w:rsidRPr="001D242D" w:rsidRDefault="00DA395E" w:rsidP="009A3DA9">
      <w:pPr>
        <w:spacing w:after="0"/>
        <w:jc w:val="both"/>
        <w:rPr>
          <w:rFonts w:eastAsia="Times New Roman" w:cs="Arial"/>
          <w:color w:val="000000" w:themeColor="text1"/>
          <w:spacing w:val="-3"/>
          <w:szCs w:val="24"/>
          <w:lang w:eastAsia="es-ES"/>
        </w:rPr>
      </w:pPr>
    </w:p>
    <w:p w14:paraId="5CA19BDC" w14:textId="45F66F8D" w:rsidR="00D86F1E" w:rsidRDefault="00F45C57" w:rsidP="00D86F1E">
      <w:pPr>
        <w:spacing w:after="0"/>
        <w:jc w:val="both"/>
      </w:pPr>
      <w:r w:rsidRPr="00143588">
        <w:rPr>
          <w:rFonts w:eastAsia="Times New Roman" w:cs="Arial"/>
          <w:color w:val="000000" w:themeColor="text1"/>
          <w:spacing w:val="-3"/>
          <w:szCs w:val="24"/>
          <w:lang w:val="es-ES" w:eastAsia="es-ES"/>
        </w:rPr>
        <w:t xml:space="preserve">Los </w:t>
      </w:r>
      <w:r w:rsidR="009A3DA9" w:rsidRPr="00143588">
        <w:rPr>
          <w:rFonts w:eastAsia="Times New Roman" w:cs="Arial"/>
          <w:color w:val="000000" w:themeColor="text1"/>
          <w:spacing w:val="-3"/>
          <w:szCs w:val="24"/>
          <w:lang w:val="es-ES" w:eastAsia="es-ES"/>
        </w:rPr>
        <w:t xml:space="preserve">cargos </w:t>
      </w:r>
      <w:r w:rsidRPr="00143588">
        <w:rPr>
          <w:rFonts w:eastAsia="Times New Roman" w:cs="Arial"/>
          <w:color w:val="000000" w:themeColor="text1"/>
          <w:spacing w:val="-3"/>
          <w:szCs w:val="24"/>
          <w:lang w:val="es-ES" w:eastAsia="es-ES"/>
        </w:rPr>
        <w:t xml:space="preserve">regulados para el sistema de transporte de </w:t>
      </w:r>
      <w:r w:rsidR="00037492" w:rsidRPr="00143588">
        <w:rPr>
          <w:rFonts w:eastAsia="Times New Roman" w:cs="Arial"/>
          <w:color w:val="000000" w:themeColor="text1"/>
          <w:spacing w:val="-3"/>
          <w:szCs w:val="24"/>
          <w:lang w:val="es-ES" w:eastAsia="es-ES"/>
        </w:rPr>
        <w:t>TGI</w:t>
      </w:r>
      <w:r w:rsidR="00020396" w:rsidRPr="00143588">
        <w:rPr>
          <w:rFonts w:eastAsia="Times New Roman" w:cs="Arial"/>
          <w:color w:val="000000" w:themeColor="text1"/>
          <w:spacing w:val="-3"/>
          <w:szCs w:val="24"/>
          <w:lang w:val="es-ES" w:eastAsia="es-ES"/>
        </w:rPr>
        <w:t xml:space="preserve"> están descritos en la Resolución CREG 110 de 2011</w:t>
      </w:r>
      <w:r w:rsidR="00143588" w:rsidRPr="00143588">
        <w:rPr>
          <w:rFonts w:eastAsia="Times New Roman" w:cs="Arial"/>
          <w:color w:val="000000" w:themeColor="text1"/>
          <w:spacing w:val="-3"/>
          <w:szCs w:val="24"/>
          <w:lang w:val="es-ES" w:eastAsia="es-ES"/>
        </w:rPr>
        <w:t xml:space="preserve">, la cual su vez fue modificada por la </w:t>
      </w:r>
      <w:r w:rsidR="009A3DA9" w:rsidRPr="00143588">
        <w:rPr>
          <w:rFonts w:eastAsia="Times New Roman" w:cs="Arial"/>
          <w:color w:val="000000" w:themeColor="text1"/>
          <w:spacing w:val="-3"/>
          <w:szCs w:val="24"/>
          <w:lang w:val="es-ES" w:eastAsia="es-ES"/>
        </w:rPr>
        <w:t xml:space="preserve">Resolución CREG </w:t>
      </w:r>
      <w:r w:rsidR="00D86F1E" w:rsidRPr="00143588">
        <w:rPr>
          <w:rFonts w:eastAsia="Times New Roman" w:cs="Arial"/>
          <w:color w:val="000000" w:themeColor="text1"/>
          <w:spacing w:val="-3"/>
          <w:szCs w:val="24"/>
          <w:lang w:val="es-ES" w:eastAsia="es-ES"/>
        </w:rPr>
        <w:t>106 de</w:t>
      </w:r>
      <w:r w:rsidR="009A3DA9" w:rsidRPr="00143588">
        <w:rPr>
          <w:rFonts w:eastAsia="Times New Roman" w:cs="Arial"/>
          <w:color w:val="000000" w:themeColor="text1"/>
          <w:spacing w:val="-3"/>
          <w:szCs w:val="24"/>
          <w:lang w:val="es-ES" w:eastAsia="es-ES"/>
        </w:rPr>
        <w:t xml:space="preserve"> </w:t>
      </w:r>
      <w:r w:rsidR="00D86F1E" w:rsidRPr="00143588">
        <w:rPr>
          <w:rFonts w:eastAsia="Times New Roman" w:cs="Arial"/>
          <w:color w:val="000000" w:themeColor="text1"/>
          <w:spacing w:val="-3"/>
          <w:szCs w:val="24"/>
          <w:lang w:val="es-ES" w:eastAsia="es-ES"/>
        </w:rPr>
        <w:t>2018</w:t>
      </w:r>
      <w:r w:rsidR="00010370" w:rsidRPr="00143588">
        <w:rPr>
          <w:rFonts w:eastAsia="Times New Roman" w:cs="Arial"/>
          <w:color w:val="000000" w:themeColor="text1"/>
          <w:spacing w:val="-3"/>
          <w:szCs w:val="24"/>
          <w:lang w:val="es-ES" w:eastAsia="es-ES"/>
        </w:rPr>
        <w:t>,</w:t>
      </w:r>
      <w:r w:rsidR="00E0555A" w:rsidRPr="00143588">
        <w:rPr>
          <w:rFonts w:eastAsia="Times New Roman" w:cs="Arial"/>
          <w:color w:val="000000" w:themeColor="text1"/>
          <w:spacing w:val="-3"/>
          <w:szCs w:val="24"/>
          <w:lang w:val="es-ES" w:eastAsia="es-ES"/>
        </w:rPr>
        <w:t xml:space="preserve"> </w:t>
      </w:r>
      <w:r w:rsidR="009A3DA9" w:rsidRPr="00143588">
        <w:rPr>
          <w:rFonts w:eastAsia="Times New Roman" w:cs="Arial"/>
          <w:color w:val="000000" w:themeColor="text1"/>
          <w:spacing w:val="-3"/>
          <w:szCs w:val="24"/>
          <w:lang w:val="es-ES" w:eastAsia="es-ES"/>
        </w:rPr>
        <w:t xml:space="preserve">en aplicación de lo dispuesto en </w:t>
      </w:r>
      <w:r w:rsidR="00D86F1E" w:rsidRPr="00143588">
        <w:rPr>
          <w:rFonts w:eastAsia="Times New Roman" w:cs="Arial"/>
          <w:color w:val="000000" w:themeColor="text1"/>
          <w:spacing w:val="-3"/>
          <w:szCs w:val="24"/>
          <w:lang w:val="es-ES" w:eastAsia="es-ES"/>
        </w:rPr>
        <w:t>la Resolución CREG 126 de 2010</w:t>
      </w:r>
      <w:r w:rsidR="005E5593" w:rsidRPr="00143588">
        <w:rPr>
          <w:rFonts w:eastAsia="Times New Roman" w:cs="Arial"/>
          <w:color w:val="000000" w:themeColor="text1"/>
          <w:spacing w:val="-3"/>
          <w:szCs w:val="24"/>
          <w:lang w:val="es-ES" w:eastAsia="es-ES"/>
        </w:rPr>
        <w:t>, d</w:t>
      </w:r>
      <w:r w:rsidR="003172E7" w:rsidRPr="00143588">
        <w:rPr>
          <w:rFonts w:eastAsia="Times New Roman" w:cs="Arial"/>
          <w:color w:val="000000" w:themeColor="text1"/>
          <w:spacing w:val="-3"/>
          <w:szCs w:val="24"/>
          <w:lang w:val="es-ES" w:eastAsia="es-ES"/>
        </w:rPr>
        <w:t xml:space="preserve">onde se incluyó </w:t>
      </w:r>
      <w:r w:rsidR="00BA0262" w:rsidRPr="00143588">
        <w:rPr>
          <w:rFonts w:eastAsia="Times New Roman" w:cs="Arial"/>
          <w:color w:val="000000" w:themeColor="text1"/>
          <w:spacing w:val="-3"/>
          <w:szCs w:val="24"/>
          <w:lang w:val="es-ES" w:eastAsia="es-ES"/>
        </w:rPr>
        <w:t xml:space="preserve">dentro de la variable PNI </w:t>
      </w:r>
      <w:r w:rsidR="00010370" w:rsidRPr="00143588">
        <w:rPr>
          <w:rFonts w:eastAsia="Times New Roman" w:cs="Arial"/>
          <w:color w:val="000000" w:themeColor="text1"/>
          <w:spacing w:val="-3"/>
          <w:szCs w:val="24"/>
          <w:lang w:val="es-ES" w:eastAsia="es-ES"/>
        </w:rPr>
        <w:t>el valor d</w:t>
      </w:r>
      <w:r w:rsidR="00F41BBB" w:rsidRPr="00143588">
        <w:rPr>
          <w:rFonts w:eastAsia="Times New Roman" w:cs="Arial"/>
          <w:color w:val="000000" w:themeColor="text1"/>
          <w:spacing w:val="-3"/>
          <w:szCs w:val="24"/>
          <w:lang w:val="es-ES" w:eastAsia="es-ES"/>
        </w:rPr>
        <w:t xml:space="preserve">el </w:t>
      </w:r>
      <w:r w:rsidR="00F41BBB" w:rsidRPr="00143588">
        <w:t>ramal Galán-Casabe-Yondó.</w:t>
      </w:r>
    </w:p>
    <w:p w14:paraId="1EAF66DF" w14:textId="77777777" w:rsidR="0034633E" w:rsidRDefault="0034633E" w:rsidP="00D86F1E">
      <w:pPr>
        <w:spacing w:after="0"/>
        <w:jc w:val="both"/>
      </w:pPr>
    </w:p>
    <w:p w14:paraId="7EF5057B" w14:textId="298CAAC2" w:rsidR="0034633E" w:rsidRDefault="004126A6" w:rsidP="0034633E">
      <w:pPr>
        <w:spacing w:after="0"/>
        <w:jc w:val="both"/>
      </w:pPr>
      <w:r>
        <w:t>M</w:t>
      </w:r>
      <w:r w:rsidR="0034633E">
        <w:t xml:space="preserve">ediante </w:t>
      </w:r>
      <w:r w:rsidR="00185A8C">
        <w:t xml:space="preserve">el </w:t>
      </w:r>
      <w:r w:rsidR="0034633E">
        <w:t>radicado</w:t>
      </w:r>
      <w:r>
        <w:t xml:space="preserve"> CREG</w:t>
      </w:r>
      <w:r w:rsidR="0034633E">
        <w:t xml:space="preserve"> </w:t>
      </w:r>
      <w:r w:rsidR="0034633E" w:rsidRPr="0034633E">
        <w:t>E-2020-007419</w:t>
      </w:r>
      <w:r w:rsidR="00010370">
        <w:t>,</w:t>
      </w:r>
      <w:r w:rsidR="0034633E">
        <w:t xml:space="preserve"> TGI confirm</w:t>
      </w:r>
      <w:r w:rsidR="003F6149">
        <w:t>ó</w:t>
      </w:r>
      <w:r w:rsidR="0034633E">
        <w:t xml:space="preserve"> el reemplazo del </w:t>
      </w:r>
      <w:r w:rsidR="0034633E" w:rsidRPr="00D35F19">
        <w:t>ramal Galán-Casabe-Yondó</w:t>
      </w:r>
      <w:r w:rsidR="00E548C0">
        <w:t xml:space="preserve"> el 30 de septiembre de 2020</w:t>
      </w:r>
      <w:r w:rsidR="0034633E">
        <w:t>.</w:t>
      </w:r>
    </w:p>
    <w:p w14:paraId="16FC3ACA" w14:textId="77777777" w:rsidR="006D5B03" w:rsidRDefault="006D5B03" w:rsidP="0034633E">
      <w:pPr>
        <w:spacing w:after="0"/>
        <w:jc w:val="both"/>
      </w:pPr>
    </w:p>
    <w:p w14:paraId="2D2E5026" w14:textId="0D7B4741" w:rsidR="00305BF0" w:rsidRDefault="00CA384B" w:rsidP="00305BF0">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Mediante</w:t>
      </w:r>
      <w:r w:rsidR="00305BF0">
        <w:rPr>
          <w:rFonts w:eastAsia="Times New Roman" w:cs="Arial"/>
          <w:color w:val="000000" w:themeColor="text1"/>
          <w:spacing w:val="-3"/>
          <w:szCs w:val="24"/>
          <w:lang w:val="es-ES" w:eastAsia="es-ES"/>
        </w:rPr>
        <w:t xml:space="preserve"> </w:t>
      </w:r>
      <w:r w:rsidR="00305BF0" w:rsidRPr="005738F9">
        <w:rPr>
          <w:rFonts w:eastAsia="Times New Roman" w:cs="Arial"/>
          <w:color w:val="000000" w:themeColor="text1"/>
          <w:spacing w:val="-3"/>
          <w:szCs w:val="24"/>
          <w:lang w:val="es-ES" w:eastAsia="es-ES"/>
        </w:rPr>
        <w:t>la Resolución CREG 175 de 2021</w:t>
      </w:r>
      <w:r w:rsidR="00305BF0">
        <w:rPr>
          <w:rFonts w:eastAsia="Times New Roman" w:cs="Arial"/>
          <w:color w:val="000000" w:themeColor="text1"/>
          <w:spacing w:val="-3"/>
          <w:szCs w:val="24"/>
          <w:lang w:val="es-ES" w:eastAsia="es-ES"/>
        </w:rPr>
        <w:t xml:space="preserve">, </w:t>
      </w:r>
      <w:r>
        <w:rPr>
          <w:rFonts w:eastAsia="Times New Roman" w:cs="Arial"/>
          <w:color w:val="000000" w:themeColor="text1"/>
          <w:spacing w:val="-3"/>
          <w:szCs w:val="24"/>
          <w:lang w:val="es-ES" w:eastAsia="es-ES"/>
        </w:rPr>
        <w:t>la Comisión</w:t>
      </w:r>
      <w:r w:rsidR="00935425">
        <w:rPr>
          <w:rFonts w:eastAsia="Times New Roman" w:cs="Arial"/>
          <w:color w:val="000000" w:themeColor="text1"/>
          <w:spacing w:val="-3"/>
          <w:szCs w:val="24"/>
          <w:lang w:val="es-ES" w:eastAsia="es-ES"/>
        </w:rPr>
        <w:t xml:space="preserve"> estableció</w:t>
      </w:r>
      <w:r w:rsidR="00305BF0" w:rsidRPr="001A3546">
        <w:rPr>
          <w:rFonts w:eastAsia="Times New Roman" w:cs="Arial"/>
          <w:color w:val="000000" w:themeColor="text1"/>
          <w:spacing w:val="-3"/>
          <w:szCs w:val="24"/>
          <w:lang w:val="es-ES" w:eastAsia="es-ES"/>
        </w:rPr>
        <w:t xml:space="preserve"> los criterios generales para la remuneración del servicio de transporte de gas natural y el esquema general de cargos del Sistema Nacional de Transporte</w:t>
      </w:r>
      <w:r w:rsidR="00935425">
        <w:rPr>
          <w:rFonts w:eastAsia="Times New Roman" w:cs="Arial"/>
          <w:i/>
          <w:iCs/>
          <w:color w:val="000000" w:themeColor="text1"/>
          <w:spacing w:val="-3"/>
          <w:szCs w:val="24"/>
          <w:lang w:val="es-ES" w:eastAsia="es-ES"/>
        </w:rPr>
        <w:t>,</w:t>
      </w:r>
      <w:r w:rsidR="00305BF0">
        <w:rPr>
          <w:rFonts w:eastAsia="Times New Roman" w:cs="Arial"/>
          <w:color w:val="000000" w:themeColor="text1"/>
          <w:spacing w:val="-3"/>
          <w:szCs w:val="24"/>
          <w:lang w:val="es-ES" w:eastAsia="es-ES"/>
        </w:rPr>
        <w:t xml:space="preserve"> la cual deroga l</w:t>
      </w:r>
      <w:r w:rsidR="00305BF0" w:rsidRPr="005738F9">
        <w:rPr>
          <w:rFonts w:eastAsia="Times New Roman" w:cs="Arial"/>
          <w:color w:val="000000" w:themeColor="text1"/>
          <w:spacing w:val="-3"/>
          <w:szCs w:val="24"/>
          <w:lang w:val="es-ES" w:eastAsia="es-ES"/>
        </w:rPr>
        <w:t>a Resolución CREG 126 de 2010. Sin embargo, en el artículo 7 se estableció la siguiente disposición:</w:t>
      </w:r>
    </w:p>
    <w:p w14:paraId="4D693C8A" w14:textId="77777777" w:rsidR="00824EEE" w:rsidRPr="005738F9" w:rsidRDefault="00824EEE" w:rsidP="00305BF0">
      <w:pPr>
        <w:spacing w:after="0"/>
        <w:jc w:val="both"/>
        <w:rPr>
          <w:rFonts w:eastAsia="Times New Roman" w:cs="Arial"/>
          <w:color w:val="000000" w:themeColor="text1"/>
          <w:spacing w:val="-3"/>
          <w:szCs w:val="24"/>
          <w:lang w:val="es-ES" w:eastAsia="es-ES"/>
        </w:rPr>
      </w:pPr>
    </w:p>
    <w:p w14:paraId="08C63F16" w14:textId="77777777" w:rsidR="00305BF0" w:rsidRDefault="00305BF0" w:rsidP="00305BF0">
      <w:pPr>
        <w:pStyle w:val="Cita"/>
        <w:rPr>
          <w:lang w:val="es-ES" w:eastAsia="es-ES"/>
        </w:rPr>
      </w:pPr>
      <w:r w:rsidRPr="004E7462">
        <w:rPr>
          <w:lang w:val="es-ES" w:eastAsia="es-ES"/>
        </w:rPr>
        <w:t>“</w:t>
      </w:r>
      <w:r w:rsidRPr="0027183B">
        <w:rPr>
          <w:b/>
          <w:bCs/>
          <w:lang w:val="es-ES" w:eastAsia="es-ES"/>
        </w:rPr>
        <w:t>Artículo 7</w:t>
      </w:r>
      <w:r>
        <w:rPr>
          <w:b/>
          <w:bCs/>
          <w:lang w:val="es-ES" w:eastAsia="es-ES"/>
        </w:rPr>
        <w:t>.</w:t>
      </w:r>
      <w:r w:rsidRPr="0027183B">
        <w:rPr>
          <w:b/>
          <w:bCs/>
          <w:lang w:val="es-ES" w:eastAsia="es-ES"/>
        </w:rPr>
        <w:t xml:space="preserve"> Transición para activos VUN. </w:t>
      </w:r>
      <w:r w:rsidRPr="004E7462">
        <w:rPr>
          <w:lang w:val="es-ES" w:eastAsia="es-ES"/>
        </w:rPr>
        <w:t>Los cargos de transporte de los tramos que cuentan con activos que cumplieron el período de VUN a 31 de diciembre de 2020, y para los cuales la CREG aprobó o aprobará los valores a retirar, VRAN y VAO, se ajustarán de acuerdo con la metodología que originó la solicitud de valoración de los activos que cumplieron el período de VUN. Igual tratamiento se aplicará para los activos que: (a) ya fueron valorados, (b) la empresa declaró que los repondría, (c) la empresa declaró el remplazo y la puesta en operación comercial y (d) la SSPD verificó la puesta en operación.</w:t>
      </w:r>
    </w:p>
    <w:p w14:paraId="1290D4A5" w14:textId="77777777" w:rsidR="00305BF0" w:rsidRPr="004E7462" w:rsidRDefault="00305BF0" w:rsidP="00305BF0">
      <w:pPr>
        <w:pStyle w:val="Cita"/>
        <w:rPr>
          <w:lang w:val="es-ES" w:eastAsia="es-ES"/>
        </w:rPr>
      </w:pPr>
      <w:r w:rsidRPr="0015594B">
        <w:rPr>
          <w:b/>
          <w:bCs/>
          <w:lang w:val="es-ES" w:eastAsia="es-ES"/>
        </w:rPr>
        <w:lastRenderedPageBreak/>
        <w:t>Parágrafo.</w:t>
      </w:r>
      <w:r w:rsidRPr="0015594B">
        <w:rPr>
          <w:lang w:val="es-ES" w:eastAsia="es-ES"/>
        </w:rPr>
        <w:t xml:space="preserve"> El presente artículo aplicará hasta el último día calendario del sexto mes siguiente a la </w:t>
      </w:r>
      <w:proofErr w:type="gramStart"/>
      <w:r w:rsidRPr="0015594B">
        <w:rPr>
          <w:lang w:val="es-ES" w:eastAsia="es-ES"/>
        </w:rPr>
        <w:t>entrada en vigencia</w:t>
      </w:r>
      <w:proofErr w:type="gramEnd"/>
      <w:r w:rsidRPr="0015594B">
        <w:rPr>
          <w:lang w:val="es-ES" w:eastAsia="es-ES"/>
        </w:rPr>
        <w:t xml:space="preserve"> de la presente resolución.</w:t>
      </w:r>
      <w:r>
        <w:rPr>
          <w:lang w:val="es-ES" w:eastAsia="es-ES"/>
        </w:rPr>
        <w:t>”</w:t>
      </w:r>
      <w:r w:rsidRPr="004E7462">
        <w:rPr>
          <w:lang w:val="es-ES" w:eastAsia="es-ES"/>
        </w:rPr>
        <w:t xml:space="preserve"> </w:t>
      </w:r>
    </w:p>
    <w:p w14:paraId="593A8559" w14:textId="77777777" w:rsidR="00305BF0" w:rsidRDefault="00305BF0" w:rsidP="00305BF0">
      <w:pPr>
        <w:spacing w:after="0"/>
        <w:jc w:val="both"/>
        <w:rPr>
          <w:rFonts w:eastAsia="Times New Roman" w:cs="Arial"/>
          <w:color w:val="000000" w:themeColor="text1"/>
          <w:spacing w:val="-3"/>
          <w:szCs w:val="24"/>
          <w:lang w:val="es-ES" w:eastAsia="es-ES"/>
        </w:rPr>
      </w:pPr>
    </w:p>
    <w:p w14:paraId="243E2F9A" w14:textId="24E60ECE" w:rsidR="00A54B58" w:rsidRDefault="00A54B58" w:rsidP="00305BF0">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Mediante la Resolución CREG 102-005 de 2022</w:t>
      </w:r>
      <w:r w:rsidR="00017E57">
        <w:rPr>
          <w:rFonts w:eastAsia="Times New Roman" w:cs="Arial"/>
          <w:color w:val="000000" w:themeColor="text1"/>
          <w:spacing w:val="-3"/>
          <w:szCs w:val="24"/>
          <w:lang w:val="es-ES" w:eastAsia="es-ES"/>
        </w:rPr>
        <w:t>,</w:t>
      </w:r>
      <w:r>
        <w:rPr>
          <w:rFonts w:eastAsia="Times New Roman" w:cs="Arial"/>
          <w:color w:val="000000" w:themeColor="text1"/>
          <w:spacing w:val="-3"/>
          <w:szCs w:val="24"/>
          <w:lang w:val="es-ES" w:eastAsia="es-ES"/>
        </w:rPr>
        <w:t xml:space="preserve"> la Comisión modificó el</w:t>
      </w:r>
      <w:r w:rsidR="007865D5">
        <w:rPr>
          <w:rFonts w:eastAsia="Times New Roman" w:cs="Arial"/>
          <w:color w:val="000000" w:themeColor="text1"/>
          <w:spacing w:val="-3"/>
          <w:szCs w:val="24"/>
          <w:lang w:val="es-ES" w:eastAsia="es-ES"/>
        </w:rPr>
        <w:t xml:space="preserve"> plazo de</w:t>
      </w:r>
      <w:r w:rsidR="00343336">
        <w:rPr>
          <w:rFonts w:eastAsia="Times New Roman" w:cs="Arial"/>
          <w:color w:val="000000" w:themeColor="text1"/>
          <w:spacing w:val="-3"/>
          <w:szCs w:val="24"/>
          <w:lang w:val="es-ES" w:eastAsia="es-ES"/>
        </w:rPr>
        <w:t>scrito en</w:t>
      </w:r>
      <w:r>
        <w:rPr>
          <w:rFonts w:eastAsia="Times New Roman" w:cs="Arial"/>
          <w:color w:val="000000" w:themeColor="text1"/>
          <w:spacing w:val="-3"/>
          <w:szCs w:val="24"/>
          <w:lang w:val="es-ES" w:eastAsia="es-ES"/>
        </w:rPr>
        <w:t xml:space="preserve"> artículo 6 de la de la </w:t>
      </w:r>
      <w:r w:rsidRPr="00D872D7">
        <w:rPr>
          <w:rFonts w:eastAsia="Times New Roman" w:cs="Arial"/>
          <w:color w:val="000000" w:themeColor="text1"/>
          <w:spacing w:val="-3"/>
          <w:szCs w:val="24"/>
          <w:lang w:val="es-ES" w:eastAsia="es-ES"/>
        </w:rPr>
        <w:t>Resolución CREG 175 de 2021</w:t>
      </w:r>
      <w:r w:rsidR="00463B66">
        <w:rPr>
          <w:rFonts w:eastAsia="Times New Roman" w:cs="Arial"/>
          <w:color w:val="000000" w:themeColor="text1"/>
          <w:spacing w:val="-3"/>
          <w:szCs w:val="24"/>
          <w:lang w:val="es-ES" w:eastAsia="es-ES"/>
        </w:rPr>
        <w:t xml:space="preserve"> así:</w:t>
      </w:r>
    </w:p>
    <w:p w14:paraId="45883B20" w14:textId="77777777" w:rsidR="007C6000" w:rsidRDefault="007C6000" w:rsidP="001A55D9">
      <w:pPr>
        <w:spacing w:after="0"/>
        <w:jc w:val="both"/>
        <w:rPr>
          <w:rFonts w:eastAsia="Times New Roman" w:cs="Arial"/>
          <w:color w:val="000000" w:themeColor="text1"/>
          <w:spacing w:val="-3"/>
          <w:szCs w:val="24"/>
          <w:lang w:val="es-ES" w:eastAsia="es-ES"/>
        </w:rPr>
      </w:pPr>
    </w:p>
    <w:p w14:paraId="7CB87E95" w14:textId="77777777" w:rsidR="00B6354D" w:rsidRDefault="00B6354D" w:rsidP="00010370">
      <w:pPr>
        <w:spacing w:after="0"/>
        <w:ind w:left="284"/>
        <w:jc w:val="both"/>
        <w:rPr>
          <w:rFonts w:eastAsia="Times New Roman" w:cs="Arial"/>
          <w:i/>
          <w:iCs/>
          <w:color w:val="000000" w:themeColor="text1"/>
          <w:spacing w:val="-3"/>
          <w:sz w:val="22"/>
          <w:lang w:val="es-ES" w:eastAsia="es-ES"/>
        </w:rPr>
      </w:pPr>
      <w:proofErr w:type="gramStart"/>
      <w:r w:rsidRPr="001A3546">
        <w:rPr>
          <w:i/>
          <w:sz w:val="22"/>
          <w:szCs w:val="20"/>
        </w:rPr>
        <w:t>“ Artículo</w:t>
      </w:r>
      <w:proofErr w:type="gramEnd"/>
      <w:r w:rsidRPr="001A3546">
        <w:rPr>
          <w:i/>
          <w:sz w:val="22"/>
          <w:szCs w:val="20"/>
        </w:rPr>
        <w:t xml:space="preserve"> 1. Modifíquese el artículo 6 de la Resolución CREG 175 de 2021 el cual quedaría así:</w:t>
      </w:r>
      <w:r w:rsidRPr="007C6000">
        <w:rPr>
          <w:rFonts w:eastAsia="Times New Roman" w:cs="Arial"/>
          <w:i/>
          <w:iCs/>
          <w:color w:val="000000" w:themeColor="text1"/>
          <w:spacing w:val="-3"/>
          <w:sz w:val="22"/>
          <w:lang w:val="es-ES" w:eastAsia="es-ES"/>
        </w:rPr>
        <w:t xml:space="preserve"> </w:t>
      </w:r>
    </w:p>
    <w:p w14:paraId="414F1F0F" w14:textId="77777777" w:rsidR="00B6354D" w:rsidRDefault="00B6354D" w:rsidP="007C6000">
      <w:pPr>
        <w:spacing w:after="0"/>
        <w:ind w:left="708"/>
        <w:jc w:val="both"/>
        <w:rPr>
          <w:rFonts w:eastAsia="Times New Roman" w:cs="Arial"/>
          <w:i/>
          <w:iCs/>
          <w:color w:val="000000" w:themeColor="text1"/>
          <w:spacing w:val="-3"/>
          <w:sz w:val="22"/>
          <w:lang w:val="es-ES" w:eastAsia="es-ES"/>
        </w:rPr>
      </w:pPr>
    </w:p>
    <w:p w14:paraId="3FB93634" w14:textId="7E5295F0" w:rsidR="007C6000" w:rsidRPr="007C6000" w:rsidRDefault="007C6000" w:rsidP="00010370">
      <w:pPr>
        <w:spacing w:after="0"/>
        <w:ind w:left="567"/>
        <w:jc w:val="both"/>
        <w:rPr>
          <w:rFonts w:eastAsia="Times New Roman" w:cs="Arial"/>
          <w:i/>
          <w:iCs/>
          <w:color w:val="000000" w:themeColor="text1"/>
          <w:spacing w:val="-3"/>
          <w:sz w:val="22"/>
          <w:lang w:val="es-ES" w:eastAsia="es-ES"/>
        </w:rPr>
      </w:pPr>
      <w:r w:rsidRPr="007C6000">
        <w:rPr>
          <w:rFonts w:eastAsia="Times New Roman" w:cs="Arial"/>
          <w:i/>
          <w:iCs/>
          <w:color w:val="000000" w:themeColor="text1"/>
          <w:spacing w:val="-3"/>
          <w:sz w:val="22"/>
          <w:lang w:val="es-ES" w:eastAsia="es-ES"/>
        </w:rPr>
        <w:t>“</w:t>
      </w:r>
      <w:r w:rsidR="001A55D9" w:rsidRPr="007C6000">
        <w:rPr>
          <w:rFonts w:eastAsia="Times New Roman" w:cs="Arial"/>
          <w:i/>
          <w:iCs/>
          <w:color w:val="000000" w:themeColor="text1"/>
          <w:spacing w:val="-3"/>
          <w:sz w:val="22"/>
          <w:lang w:val="es-ES" w:eastAsia="es-ES"/>
        </w:rPr>
        <w:t>Artículo 6. Cálculo de cargos actualizando Tasa de Costo de Capital y</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 xml:space="preserve">moneda de los cargos. </w:t>
      </w:r>
      <w:r w:rsidR="001A55D9" w:rsidRPr="000025DB">
        <w:rPr>
          <w:rFonts w:eastAsia="Times New Roman" w:cs="Arial"/>
          <w:i/>
          <w:iCs/>
          <w:color w:val="000000" w:themeColor="text1"/>
          <w:spacing w:val="-3"/>
          <w:sz w:val="22"/>
          <w:u w:val="single"/>
          <w:lang w:val="es-ES" w:eastAsia="es-ES"/>
        </w:rPr>
        <w:t>A partir del primer día calendario del décimo mes</w:t>
      </w:r>
      <w:r w:rsidRPr="000025DB">
        <w:rPr>
          <w:rFonts w:eastAsia="Times New Roman" w:cs="Arial"/>
          <w:i/>
          <w:iCs/>
          <w:color w:val="000000" w:themeColor="text1"/>
          <w:spacing w:val="-3"/>
          <w:sz w:val="22"/>
          <w:u w:val="single"/>
          <w:lang w:val="es-ES" w:eastAsia="es-ES"/>
        </w:rPr>
        <w:t xml:space="preserve"> </w:t>
      </w:r>
      <w:r w:rsidR="001A55D9" w:rsidRPr="000025DB">
        <w:rPr>
          <w:rFonts w:eastAsia="Times New Roman" w:cs="Arial"/>
          <w:i/>
          <w:iCs/>
          <w:color w:val="000000" w:themeColor="text1"/>
          <w:spacing w:val="-3"/>
          <w:sz w:val="22"/>
          <w:u w:val="single"/>
          <w:lang w:val="es-ES" w:eastAsia="es-ES"/>
        </w:rPr>
        <w:t xml:space="preserve">siguiente a la </w:t>
      </w:r>
      <w:proofErr w:type="gramStart"/>
      <w:r w:rsidR="001A55D9" w:rsidRPr="000025DB">
        <w:rPr>
          <w:rFonts w:eastAsia="Times New Roman" w:cs="Arial"/>
          <w:i/>
          <w:iCs/>
          <w:color w:val="000000" w:themeColor="text1"/>
          <w:spacing w:val="-3"/>
          <w:sz w:val="22"/>
          <w:u w:val="single"/>
          <w:lang w:val="es-ES" w:eastAsia="es-ES"/>
        </w:rPr>
        <w:t>entrada en vigencia</w:t>
      </w:r>
      <w:proofErr w:type="gramEnd"/>
      <w:r w:rsidR="001A55D9" w:rsidRPr="000025DB">
        <w:rPr>
          <w:rFonts w:eastAsia="Times New Roman" w:cs="Arial"/>
          <w:i/>
          <w:iCs/>
          <w:color w:val="000000" w:themeColor="text1"/>
          <w:spacing w:val="-3"/>
          <w:sz w:val="22"/>
          <w:u w:val="single"/>
          <w:lang w:val="es-ES" w:eastAsia="es-ES"/>
        </w:rPr>
        <w:t xml:space="preserve"> de la presente resolución</w:t>
      </w:r>
      <w:r w:rsidR="001A55D9" w:rsidRPr="007C6000">
        <w:rPr>
          <w:rFonts w:eastAsia="Times New Roman" w:cs="Arial"/>
          <w:i/>
          <w:iCs/>
          <w:color w:val="000000" w:themeColor="text1"/>
          <w:spacing w:val="-3"/>
          <w:sz w:val="22"/>
          <w:lang w:val="es-ES" w:eastAsia="es-ES"/>
        </w:rPr>
        <w:t>, los agentes</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transportadores aplicarán los cargos resultantes para el cobro del transporte</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siguiendo el procedimiento que se describe en los siguientes literales de</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manera mensual, y hasta que se actualicen los cargos, acorde con el Artículo</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10 y siguientes de aplicación de la presente metodología, y estos se</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encuentren en firme. Los cargos regulados resultantes de la aplicación de</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este procedimiento reemplazarán los cargos regulados vigentes definidos con</w:t>
      </w:r>
      <w:r w:rsidRPr="007C6000">
        <w:rPr>
          <w:rFonts w:eastAsia="Times New Roman" w:cs="Arial"/>
          <w:i/>
          <w:iCs/>
          <w:color w:val="000000" w:themeColor="text1"/>
          <w:spacing w:val="-3"/>
          <w:sz w:val="22"/>
          <w:lang w:val="es-ES" w:eastAsia="es-ES"/>
        </w:rPr>
        <w:t xml:space="preserve"> </w:t>
      </w:r>
      <w:r w:rsidR="001A55D9" w:rsidRPr="007C6000">
        <w:rPr>
          <w:rFonts w:eastAsia="Times New Roman" w:cs="Arial"/>
          <w:i/>
          <w:iCs/>
          <w:color w:val="000000" w:themeColor="text1"/>
          <w:spacing w:val="-3"/>
          <w:sz w:val="22"/>
          <w:lang w:val="es-ES" w:eastAsia="es-ES"/>
        </w:rPr>
        <w:t>base en la resolución CREG 126 de 2010</w:t>
      </w:r>
      <w:r w:rsidRPr="007C6000">
        <w:rPr>
          <w:rFonts w:eastAsia="Times New Roman" w:cs="Arial"/>
          <w:i/>
          <w:iCs/>
          <w:color w:val="000000" w:themeColor="text1"/>
          <w:spacing w:val="-3"/>
          <w:sz w:val="22"/>
          <w:lang w:val="es-ES" w:eastAsia="es-ES"/>
        </w:rPr>
        <w:t xml:space="preserve">. </w:t>
      </w:r>
    </w:p>
    <w:p w14:paraId="4B36812D" w14:textId="77777777" w:rsidR="007C6000" w:rsidRPr="007C6000" w:rsidRDefault="007C6000" w:rsidP="00010370">
      <w:pPr>
        <w:spacing w:after="0"/>
        <w:ind w:left="567"/>
        <w:jc w:val="both"/>
        <w:rPr>
          <w:rFonts w:eastAsia="Times New Roman" w:cs="Arial"/>
          <w:i/>
          <w:iCs/>
          <w:color w:val="000000" w:themeColor="text1"/>
          <w:spacing w:val="-3"/>
          <w:sz w:val="22"/>
          <w:lang w:val="es-ES" w:eastAsia="es-ES"/>
        </w:rPr>
      </w:pPr>
    </w:p>
    <w:p w14:paraId="00E897BD" w14:textId="047F945A" w:rsidR="00463B66" w:rsidRPr="000025DB" w:rsidRDefault="007C6000" w:rsidP="00010370">
      <w:pPr>
        <w:spacing w:after="0"/>
        <w:ind w:left="567"/>
        <w:jc w:val="both"/>
        <w:rPr>
          <w:rFonts w:eastAsia="Times New Roman" w:cs="Arial"/>
          <w:color w:val="000000" w:themeColor="text1"/>
          <w:spacing w:val="-3"/>
          <w:szCs w:val="24"/>
          <w:lang w:val="es-ES" w:eastAsia="es-ES"/>
        </w:rPr>
      </w:pPr>
      <w:r w:rsidRPr="007C6000">
        <w:rPr>
          <w:rFonts w:eastAsia="Times New Roman" w:cs="Arial"/>
          <w:i/>
          <w:iCs/>
          <w:color w:val="000000" w:themeColor="text1"/>
          <w:spacing w:val="-3"/>
          <w:sz w:val="22"/>
          <w:lang w:val="es-ES" w:eastAsia="es-ES"/>
        </w:rPr>
        <w:t>(…)”</w:t>
      </w:r>
      <w:r w:rsidR="000025DB">
        <w:rPr>
          <w:rFonts w:eastAsia="Times New Roman" w:cs="Arial"/>
          <w:i/>
          <w:iCs/>
          <w:color w:val="000000" w:themeColor="text1"/>
          <w:spacing w:val="-3"/>
          <w:sz w:val="22"/>
          <w:lang w:val="es-ES" w:eastAsia="es-ES"/>
        </w:rPr>
        <w:t xml:space="preserve"> </w:t>
      </w:r>
      <w:r w:rsidR="000025DB">
        <w:rPr>
          <w:rFonts w:eastAsia="Times New Roman" w:cs="Arial"/>
          <w:color w:val="000000" w:themeColor="text1"/>
          <w:spacing w:val="-3"/>
          <w:sz w:val="22"/>
          <w:lang w:val="es-ES" w:eastAsia="es-ES"/>
        </w:rPr>
        <w:t>(Subrayado por fuera del texto original)</w:t>
      </w:r>
    </w:p>
    <w:p w14:paraId="28308BEA" w14:textId="77777777" w:rsidR="00A54B58" w:rsidRDefault="00A54B58" w:rsidP="00305BF0">
      <w:pPr>
        <w:spacing w:after="0"/>
        <w:jc w:val="both"/>
        <w:rPr>
          <w:rFonts w:eastAsia="Times New Roman" w:cs="Arial"/>
          <w:color w:val="000000" w:themeColor="text1"/>
          <w:spacing w:val="-3"/>
          <w:szCs w:val="24"/>
          <w:lang w:val="es-ES" w:eastAsia="es-ES"/>
        </w:rPr>
      </w:pPr>
    </w:p>
    <w:p w14:paraId="351A8525" w14:textId="2FF297F8" w:rsidR="00305BF0" w:rsidRDefault="00305BF0" w:rsidP="00305BF0">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Mediante la Resolución CREG 102-006 de 2022</w:t>
      </w:r>
      <w:r w:rsidR="00160277">
        <w:rPr>
          <w:rFonts w:eastAsia="Times New Roman" w:cs="Arial"/>
          <w:color w:val="000000" w:themeColor="text1"/>
          <w:spacing w:val="-3"/>
          <w:szCs w:val="24"/>
          <w:lang w:val="es-ES" w:eastAsia="es-ES"/>
        </w:rPr>
        <w:t>,</w:t>
      </w:r>
      <w:r>
        <w:rPr>
          <w:rFonts w:eastAsia="Times New Roman" w:cs="Arial"/>
          <w:color w:val="000000" w:themeColor="text1"/>
          <w:spacing w:val="-3"/>
          <w:szCs w:val="24"/>
          <w:lang w:val="es-ES" w:eastAsia="es-ES"/>
        </w:rPr>
        <w:t xml:space="preserve"> la Comisión modificó el parágrafo del artículo 7 de la </w:t>
      </w:r>
      <w:r w:rsidRPr="00D872D7">
        <w:rPr>
          <w:rFonts w:eastAsia="Times New Roman" w:cs="Arial"/>
          <w:color w:val="000000" w:themeColor="text1"/>
          <w:spacing w:val="-3"/>
          <w:szCs w:val="24"/>
          <w:lang w:val="es-ES" w:eastAsia="es-ES"/>
        </w:rPr>
        <w:t>Resolución CREG 175 de 2021</w:t>
      </w:r>
      <w:r>
        <w:rPr>
          <w:rFonts w:eastAsia="Times New Roman" w:cs="Arial"/>
          <w:color w:val="000000" w:themeColor="text1"/>
          <w:spacing w:val="-3"/>
          <w:szCs w:val="24"/>
          <w:lang w:val="es-ES" w:eastAsia="es-ES"/>
        </w:rPr>
        <w:t>, así:</w:t>
      </w:r>
    </w:p>
    <w:p w14:paraId="55729FCD" w14:textId="77777777" w:rsidR="00305BF0" w:rsidRPr="00343336" w:rsidRDefault="00305BF0" w:rsidP="00305BF0">
      <w:pPr>
        <w:pStyle w:val="Cita"/>
        <w:rPr>
          <w:sz w:val="20"/>
          <w:szCs w:val="24"/>
          <w:lang w:val="es-ES" w:eastAsia="es-ES"/>
        </w:rPr>
      </w:pPr>
    </w:p>
    <w:p w14:paraId="296960A1" w14:textId="77777777" w:rsidR="00305BF0" w:rsidRPr="00343336" w:rsidRDefault="00305BF0" w:rsidP="00010370">
      <w:pPr>
        <w:pStyle w:val="Cita"/>
        <w:ind w:right="284"/>
        <w:rPr>
          <w:sz w:val="20"/>
          <w:szCs w:val="24"/>
          <w:lang w:val="es-ES" w:eastAsia="es-ES"/>
        </w:rPr>
      </w:pPr>
      <w:r w:rsidRPr="00343336">
        <w:rPr>
          <w:sz w:val="20"/>
          <w:szCs w:val="24"/>
          <w:lang w:val="es-ES" w:eastAsia="es-ES"/>
        </w:rPr>
        <w:t>“</w:t>
      </w:r>
      <w:r w:rsidRPr="00343336">
        <w:rPr>
          <w:b/>
          <w:bCs/>
          <w:sz w:val="20"/>
          <w:szCs w:val="24"/>
          <w:lang w:val="es-ES" w:eastAsia="es-ES"/>
        </w:rPr>
        <w:t>Parágrafo.</w:t>
      </w:r>
      <w:r w:rsidRPr="00343336">
        <w:rPr>
          <w:sz w:val="20"/>
          <w:szCs w:val="24"/>
          <w:lang w:val="es-ES" w:eastAsia="es-ES"/>
        </w:rPr>
        <w:t xml:space="preserve"> El presente artículo aplicará hasta el último día calendario del noveno mes siguiente a la </w:t>
      </w:r>
      <w:proofErr w:type="gramStart"/>
      <w:r w:rsidRPr="00343336">
        <w:rPr>
          <w:sz w:val="20"/>
          <w:szCs w:val="24"/>
          <w:lang w:val="es-ES" w:eastAsia="es-ES"/>
        </w:rPr>
        <w:t>entrada en vigencia</w:t>
      </w:r>
      <w:proofErr w:type="gramEnd"/>
      <w:r w:rsidRPr="00343336">
        <w:rPr>
          <w:sz w:val="20"/>
          <w:szCs w:val="24"/>
          <w:lang w:val="es-ES" w:eastAsia="es-ES"/>
        </w:rPr>
        <w:t xml:space="preserve"> de la presente resolución”.</w:t>
      </w:r>
    </w:p>
    <w:p w14:paraId="4EF91E28" w14:textId="77777777" w:rsidR="00E31255" w:rsidRDefault="00E31255" w:rsidP="005B67E6">
      <w:pPr>
        <w:spacing w:after="0"/>
        <w:jc w:val="both"/>
      </w:pPr>
    </w:p>
    <w:p w14:paraId="5DA603DB" w14:textId="2B207E8A" w:rsidR="003D0ABA" w:rsidRPr="00B533C9" w:rsidRDefault="003D0ABA" w:rsidP="00305BF0">
      <w:pPr>
        <w:spacing w:after="0"/>
        <w:jc w:val="both"/>
      </w:pPr>
      <w:r w:rsidRPr="00B533C9">
        <w:t xml:space="preserve">Adicionalmente, mediante la Resolución CREG </w:t>
      </w:r>
      <w:r w:rsidR="0025172B" w:rsidRPr="001A3546">
        <w:t>102</w:t>
      </w:r>
      <w:r w:rsidR="00FC4C49" w:rsidRPr="001A3546">
        <w:t xml:space="preserve"> 010</w:t>
      </w:r>
      <w:r w:rsidRPr="00B533C9">
        <w:t xml:space="preserve"> de 2022, la Comisión modificó la Resolución CREG 175 de 2021, en e</w:t>
      </w:r>
      <w:r w:rsidR="00017A48" w:rsidRPr="00B533C9">
        <w:t>l siguiente sentido:</w:t>
      </w:r>
    </w:p>
    <w:p w14:paraId="2A1705EE" w14:textId="77777777" w:rsidR="00017A48" w:rsidRPr="001A3546" w:rsidRDefault="00017A48" w:rsidP="00305BF0">
      <w:pPr>
        <w:spacing w:after="0"/>
        <w:jc w:val="both"/>
      </w:pPr>
    </w:p>
    <w:p w14:paraId="094FC5F4" w14:textId="4A89ACF1" w:rsidR="000C27A0" w:rsidRPr="001A3546" w:rsidRDefault="00E23977" w:rsidP="00010370">
      <w:pPr>
        <w:spacing w:after="0"/>
        <w:ind w:left="284"/>
        <w:jc w:val="both"/>
        <w:rPr>
          <w:i/>
          <w:sz w:val="22"/>
          <w:szCs w:val="20"/>
        </w:rPr>
      </w:pPr>
      <w:r w:rsidRPr="001A3546">
        <w:rPr>
          <w:i/>
          <w:sz w:val="22"/>
          <w:szCs w:val="20"/>
        </w:rPr>
        <w:t>“Artículo 1.</w:t>
      </w:r>
      <w:r w:rsidR="000C27A0" w:rsidRPr="001A3546">
        <w:rPr>
          <w:i/>
          <w:sz w:val="22"/>
          <w:szCs w:val="20"/>
        </w:rPr>
        <w:t xml:space="preserve"> Modifíquese el artículo 6 de la Resolución CREG 175 de 2021 el cual quedaría así:</w:t>
      </w:r>
    </w:p>
    <w:p w14:paraId="3DB569D0" w14:textId="77777777" w:rsidR="00D422B8" w:rsidRPr="001A3546" w:rsidRDefault="00D422B8" w:rsidP="00D422B8">
      <w:pPr>
        <w:spacing w:after="0"/>
        <w:jc w:val="both"/>
        <w:rPr>
          <w:i/>
        </w:rPr>
      </w:pPr>
    </w:p>
    <w:p w14:paraId="7393DA67" w14:textId="77777777" w:rsidR="00C92F58" w:rsidRPr="001A3546" w:rsidRDefault="00C92F58" w:rsidP="00010370">
      <w:pPr>
        <w:spacing w:after="0"/>
        <w:ind w:left="567"/>
        <w:jc w:val="both"/>
        <w:rPr>
          <w:i/>
          <w:sz w:val="22"/>
          <w:szCs w:val="20"/>
        </w:rPr>
      </w:pPr>
      <w:r w:rsidRPr="001A3546">
        <w:rPr>
          <w:i/>
          <w:sz w:val="22"/>
          <w:szCs w:val="20"/>
        </w:rPr>
        <w:t xml:space="preserve">“Artículo 6. Cálculo de cargos actualizando Tasa de Costo de Capital y moneda de los cargos. Para los sistemas de transporte que actualmente no tengan en trámite actualización de cargos con base en el artículo 7 de la presente resolución, los transportadores deberán aplicar los procedimientos descritos en el presente artículo, a partir del primer día calendario del décimo mes siguiente a la </w:t>
      </w:r>
      <w:proofErr w:type="gramStart"/>
      <w:r w:rsidRPr="001A3546">
        <w:rPr>
          <w:i/>
          <w:sz w:val="22"/>
          <w:szCs w:val="20"/>
        </w:rPr>
        <w:t>entrada en vigencia</w:t>
      </w:r>
      <w:proofErr w:type="gramEnd"/>
      <w:r w:rsidRPr="001A3546">
        <w:rPr>
          <w:i/>
          <w:sz w:val="22"/>
          <w:szCs w:val="20"/>
        </w:rPr>
        <w:t xml:space="preserve"> de la presente resolución.</w:t>
      </w:r>
    </w:p>
    <w:p w14:paraId="0A2E9DBA" w14:textId="77777777" w:rsidR="00C92F58" w:rsidRPr="001A3546" w:rsidRDefault="00C92F58" w:rsidP="00010370">
      <w:pPr>
        <w:spacing w:after="0"/>
        <w:ind w:left="567"/>
        <w:jc w:val="both"/>
        <w:rPr>
          <w:i/>
          <w:sz w:val="22"/>
          <w:szCs w:val="20"/>
        </w:rPr>
      </w:pPr>
    </w:p>
    <w:p w14:paraId="642DBB0D" w14:textId="77777777" w:rsidR="00C92F58" w:rsidRPr="001A3546" w:rsidRDefault="00C92F58" w:rsidP="00010370">
      <w:pPr>
        <w:spacing w:after="0"/>
        <w:ind w:left="567"/>
        <w:jc w:val="both"/>
        <w:rPr>
          <w:i/>
          <w:sz w:val="22"/>
          <w:szCs w:val="20"/>
        </w:rPr>
      </w:pPr>
      <w:r w:rsidRPr="001A3546">
        <w:rPr>
          <w:i/>
          <w:sz w:val="22"/>
          <w:szCs w:val="20"/>
        </w:rPr>
        <w:t>Para los sistemas de transporte que tengan actualizaciones de cargos en trámite con base en el artículo 7 de la presente resolución, los transportadores deberán aplicar los procedimientos descritos en el presente artículo una vez queden en firme los respectivos actos administrativos, y los cargos resultantes aplicarán el primer día del mes siguiente. En caso de que las resoluciones de que trata el artículo 7 de la presente resolución no queden en firme antes de la fecha prevista en el numeral i del literal e) del presente artículo, las disposiciones del presente artículo deberán ser aplicadas en el mes siguiente.</w:t>
      </w:r>
    </w:p>
    <w:p w14:paraId="496DCB85" w14:textId="77777777" w:rsidR="00C92F58" w:rsidRPr="001A3546" w:rsidRDefault="00C92F58" w:rsidP="00010370">
      <w:pPr>
        <w:spacing w:after="0"/>
        <w:ind w:left="567"/>
        <w:jc w:val="both"/>
        <w:rPr>
          <w:i/>
          <w:sz w:val="22"/>
          <w:szCs w:val="20"/>
        </w:rPr>
      </w:pPr>
    </w:p>
    <w:p w14:paraId="268973B4" w14:textId="7D6DA465" w:rsidR="00D422B8" w:rsidRDefault="00C92F58" w:rsidP="00010370">
      <w:pPr>
        <w:spacing w:after="0"/>
        <w:ind w:left="567"/>
        <w:jc w:val="both"/>
        <w:rPr>
          <w:i/>
          <w:iCs/>
          <w:sz w:val="22"/>
          <w:szCs w:val="20"/>
        </w:rPr>
      </w:pPr>
      <w:r w:rsidRPr="001A3546">
        <w:rPr>
          <w:i/>
          <w:sz w:val="22"/>
          <w:szCs w:val="20"/>
        </w:rPr>
        <w:t xml:space="preserve">Los agentes transportadores aplicarán los cargos resultantes para el cobro del transporte siguiendo el procedimiento que se describe en los siguientes literales de manera mensual, y hasta que se actualicen los cargos, acorde con el Artículo 10 y siguientes de aplicación de la presente metodología, y estos se encuentren en firme. Los cargos regulados resultantes de la aplicación de este procedimiento </w:t>
      </w:r>
      <w:r w:rsidRPr="001A3546">
        <w:rPr>
          <w:i/>
          <w:sz w:val="22"/>
          <w:szCs w:val="20"/>
        </w:rPr>
        <w:lastRenderedPageBreak/>
        <w:t>reemplazarán los cargos regulados vigentes definidos con base en la resolución CREG 126 de 2010</w:t>
      </w:r>
      <w:r w:rsidR="00147EB1">
        <w:rPr>
          <w:i/>
          <w:iCs/>
          <w:sz w:val="22"/>
          <w:szCs w:val="20"/>
        </w:rPr>
        <w:t>.</w:t>
      </w:r>
    </w:p>
    <w:p w14:paraId="2E2550EA" w14:textId="77777777" w:rsidR="00D422B8" w:rsidRDefault="00D422B8" w:rsidP="00010370">
      <w:pPr>
        <w:spacing w:after="0"/>
        <w:ind w:left="567"/>
        <w:jc w:val="both"/>
        <w:rPr>
          <w:i/>
          <w:iCs/>
          <w:sz w:val="22"/>
          <w:szCs w:val="20"/>
        </w:rPr>
      </w:pPr>
    </w:p>
    <w:p w14:paraId="17231C32" w14:textId="77777777" w:rsidR="00D422B8" w:rsidRDefault="00D422B8" w:rsidP="00010370">
      <w:pPr>
        <w:spacing w:after="0"/>
        <w:ind w:left="567"/>
        <w:jc w:val="both"/>
        <w:rPr>
          <w:i/>
          <w:iCs/>
          <w:sz w:val="22"/>
          <w:szCs w:val="20"/>
        </w:rPr>
      </w:pPr>
      <w:r>
        <w:rPr>
          <w:i/>
          <w:iCs/>
          <w:sz w:val="22"/>
          <w:szCs w:val="20"/>
        </w:rPr>
        <w:t>(…)</w:t>
      </w:r>
    </w:p>
    <w:p w14:paraId="79171313" w14:textId="77777777" w:rsidR="00D422B8" w:rsidRDefault="00D422B8" w:rsidP="00986E4E">
      <w:pPr>
        <w:spacing w:after="0"/>
        <w:ind w:left="1416"/>
        <w:jc w:val="both"/>
        <w:rPr>
          <w:i/>
          <w:iCs/>
          <w:sz w:val="22"/>
          <w:szCs w:val="20"/>
        </w:rPr>
      </w:pPr>
    </w:p>
    <w:p w14:paraId="40C90D33" w14:textId="05C4D278" w:rsidR="009A3DA9" w:rsidRPr="001A3546" w:rsidRDefault="00147EB1" w:rsidP="00010370">
      <w:pPr>
        <w:spacing w:after="0"/>
        <w:ind w:left="284"/>
        <w:jc w:val="both"/>
        <w:rPr>
          <w:i/>
        </w:rPr>
      </w:pPr>
      <w:r w:rsidRPr="001A3546">
        <w:rPr>
          <w:i/>
        </w:rPr>
        <w:t>Artículo 2.          Elimínese el parágrafo del artículo 7 de la Resolución CREG 175 de 2021</w:t>
      </w:r>
      <w:r>
        <w:rPr>
          <w:i/>
          <w:iCs/>
        </w:rPr>
        <w:t>.”</w:t>
      </w:r>
      <w:r w:rsidR="00D422B8" w:rsidRPr="001A3546">
        <w:rPr>
          <w:i/>
        </w:rPr>
        <w:tab/>
      </w:r>
      <w:r w:rsidR="00D422B8" w:rsidRPr="001A3546">
        <w:rPr>
          <w:i/>
        </w:rPr>
        <w:tab/>
      </w:r>
    </w:p>
    <w:p w14:paraId="6882BCE7" w14:textId="77777777" w:rsidR="00D422B8" w:rsidRPr="009A3DA9" w:rsidRDefault="00D422B8" w:rsidP="005B67E6">
      <w:pPr>
        <w:spacing w:after="0"/>
        <w:jc w:val="both"/>
        <w:rPr>
          <w:rFonts w:eastAsia="Times New Roman" w:cs="Arial"/>
          <w:color w:val="000000" w:themeColor="text1"/>
          <w:spacing w:val="-3"/>
          <w:szCs w:val="24"/>
          <w:lang w:val="es-ES" w:eastAsia="es-ES"/>
        </w:rPr>
      </w:pPr>
    </w:p>
    <w:p w14:paraId="4AD1D593" w14:textId="0D314DE4" w:rsidR="002A32A0" w:rsidRDefault="00016C3E" w:rsidP="005B67E6">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Mediante</w:t>
      </w:r>
      <w:r w:rsidR="00185A8C">
        <w:rPr>
          <w:rFonts w:eastAsia="Times New Roman" w:cs="Arial"/>
          <w:color w:val="000000" w:themeColor="text1"/>
          <w:spacing w:val="-3"/>
          <w:szCs w:val="24"/>
          <w:lang w:val="es-ES" w:eastAsia="es-ES"/>
        </w:rPr>
        <w:t xml:space="preserve"> la</w:t>
      </w:r>
      <w:r>
        <w:rPr>
          <w:rFonts w:eastAsia="Times New Roman" w:cs="Arial"/>
          <w:color w:val="000000" w:themeColor="text1"/>
          <w:spacing w:val="-3"/>
          <w:szCs w:val="24"/>
          <w:lang w:val="es-ES" w:eastAsia="es-ES"/>
        </w:rPr>
        <w:t xml:space="preserve"> Resolución CREG 099 de 2021</w:t>
      </w:r>
      <w:r w:rsidR="001F33E4" w:rsidRPr="001F33E4">
        <w:t xml:space="preserve"> </w:t>
      </w:r>
      <w:r w:rsidR="00C76904">
        <w:t>s</w:t>
      </w:r>
      <w:proofErr w:type="spellStart"/>
      <w:r w:rsidR="001F33E4" w:rsidRPr="001F33E4">
        <w:rPr>
          <w:rFonts w:eastAsia="Times New Roman" w:cs="Arial"/>
          <w:color w:val="000000" w:themeColor="text1"/>
          <w:spacing w:val="-3"/>
          <w:szCs w:val="24"/>
          <w:lang w:val="es-ES" w:eastAsia="es-ES"/>
        </w:rPr>
        <w:t>e</w:t>
      </w:r>
      <w:proofErr w:type="spellEnd"/>
      <w:r w:rsidR="001F33E4" w:rsidRPr="001F33E4">
        <w:rPr>
          <w:rFonts w:eastAsia="Times New Roman" w:cs="Arial"/>
          <w:color w:val="000000" w:themeColor="text1"/>
          <w:spacing w:val="-3"/>
          <w:szCs w:val="24"/>
          <w:lang w:val="es-ES" w:eastAsia="es-ES"/>
        </w:rPr>
        <w:t xml:space="preserve"> resuelven las solicitudes hechas por TGI</w:t>
      </w:r>
      <w:r w:rsidR="001F33E4" w:rsidRPr="001F33E4" w:rsidDel="00185A8C">
        <w:rPr>
          <w:rFonts w:eastAsia="Times New Roman" w:cs="Arial"/>
          <w:color w:val="000000" w:themeColor="text1"/>
          <w:spacing w:val="-3"/>
          <w:szCs w:val="24"/>
          <w:lang w:val="es-ES" w:eastAsia="es-ES"/>
        </w:rPr>
        <w:t xml:space="preserve"> </w:t>
      </w:r>
      <w:r w:rsidR="001F33E4" w:rsidRPr="001F33E4">
        <w:rPr>
          <w:rFonts w:eastAsia="Times New Roman" w:cs="Arial"/>
          <w:color w:val="000000" w:themeColor="text1"/>
          <w:spacing w:val="-3"/>
          <w:szCs w:val="24"/>
          <w:lang w:val="es-ES" w:eastAsia="es-ES"/>
        </w:rPr>
        <w:t>para la aplicación del artículo 14 de la Resolución CREG 126 de 2010 en los gasoductos y estaciones de compresión que cumplieron su vida útil normativa</w:t>
      </w:r>
      <w:r w:rsidR="00016169">
        <w:rPr>
          <w:rFonts w:eastAsia="Times New Roman" w:cs="Arial"/>
          <w:color w:val="000000" w:themeColor="text1"/>
          <w:spacing w:val="-3"/>
          <w:szCs w:val="24"/>
          <w:lang w:val="es-ES" w:eastAsia="es-ES"/>
        </w:rPr>
        <w:t>.</w:t>
      </w:r>
    </w:p>
    <w:p w14:paraId="3C233EEE" w14:textId="77777777" w:rsidR="006C23DE" w:rsidRDefault="006C23DE" w:rsidP="005B67E6">
      <w:pPr>
        <w:spacing w:after="0"/>
        <w:jc w:val="both"/>
        <w:rPr>
          <w:rFonts w:eastAsia="Times New Roman" w:cs="Arial"/>
          <w:color w:val="000000" w:themeColor="text1"/>
          <w:spacing w:val="-3"/>
          <w:szCs w:val="24"/>
          <w:lang w:val="es-ES" w:eastAsia="es-ES"/>
        </w:rPr>
      </w:pPr>
    </w:p>
    <w:p w14:paraId="76241E99" w14:textId="72859765" w:rsidR="000238E4" w:rsidRDefault="000238E4" w:rsidP="000238E4">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En la Resolución CREG 099 de 2021 respecto a los ramales </w:t>
      </w:r>
      <w:r w:rsidRPr="00DC3FF4">
        <w:rPr>
          <w:rFonts w:eastAsia="Times New Roman" w:cs="Arial"/>
          <w:color w:val="000000" w:themeColor="text1"/>
          <w:spacing w:val="-3"/>
          <w:szCs w:val="24"/>
          <w:lang w:val="es-ES" w:eastAsia="es-ES"/>
        </w:rPr>
        <w:t>Albania</w:t>
      </w:r>
      <w:r>
        <w:rPr>
          <w:rFonts w:eastAsia="Times New Roman" w:cs="Arial"/>
          <w:color w:val="000000" w:themeColor="text1"/>
          <w:spacing w:val="-3"/>
          <w:szCs w:val="24"/>
          <w:lang w:val="es-ES" w:eastAsia="es-ES"/>
        </w:rPr>
        <w:t xml:space="preserve">, </w:t>
      </w:r>
      <w:r w:rsidRPr="00DC3FF4">
        <w:rPr>
          <w:rFonts w:eastAsia="Times New Roman" w:cs="Arial"/>
          <w:color w:val="000000" w:themeColor="text1"/>
          <w:spacing w:val="-3"/>
          <w:szCs w:val="24"/>
          <w:lang w:val="es-ES" w:eastAsia="es-ES"/>
        </w:rPr>
        <w:t>Briceño</w:t>
      </w:r>
      <w:r>
        <w:rPr>
          <w:rFonts w:eastAsia="Times New Roman" w:cs="Arial"/>
          <w:color w:val="000000" w:themeColor="text1"/>
          <w:spacing w:val="-3"/>
          <w:szCs w:val="24"/>
          <w:lang w:val="es-ES" w:eastAsia="es-ES"/>
        </w:rPr>
        <w:t xml:space="preserve">, </w:t>
      </w:r>
      <w:r w:rsidRPr="008A70FC">
        <w:rPr>
          <w:rFonts w:eastAsia="Times New Roman" w:cs="Arial"/>
          <w:color w:val="000000" w:themeColor="text1"/>
          <w:spacing w:val="-3"/>
          <w:szCs w:val="24"/>
          <w:lang w:val="es-ES" w:eastAsia="es-ES"/>
        </w:rPr>
        <w:t>Chiquinquirá</w:t>
      </w:r>
      <w:r>
        <w:rPr>
          <w:rFonts w:eastAsia="Times New Roman" w:cs="Arial"/>
          <w:color w:val="000000" w:themeColor="text1"/>
          <w:spacing w:val="-3"/>
          <w:szCs w:val="24"/>
          <w:lang w:val="es-ES" w:eastAsia="es-ES"/>
        </w:rPr>
        <w:t xml:space="preserve">, </w:t>
      </w:r>
      <w:r w:rsidRPr="009C3DDD">
        <w:rPr>
          <w:rFonts w:eastAsia="Times New Roman" w:cs="Arial"/>
          <w:color w:val="000000" w:themeColor="text1"/>
          <w:spacing w:val="-3"/>
          <w:szCs w:val="24"/>
          <w:lang w:val="es-ES" w:eastAsia="es-ES"/>
        </w:rPr>
        <w:t>Florián</w:t>
      </w:r>
      <w:r>
        <w:rPr>
          <w:rFonts w:eastAsia="Times New Roman" w:cs="Arial"/>
          <w:color w:val="000000" w:themeColor="text1"/>
          <w:spacing w:val="-3"/>
          <w:szCs w:val="24"/>
          <w:lang w:val="es-ES" w:eastAsia="es-ES"/>
        </w:rPr>
        <w:t xml:space="preserve">, </w:t>
      </w:r>
      <w:proofErr w:type="spellStart"/>
      <w:r w:rsidRPr="00E3196B">
        <w:rPr>
          <w:rFonts w:eastAsia="Times New Roman" w:cs="Arial"/>
          <w:color w:val="000000" w:themeColor="text1"/>
          <w:spacing w:val="-3"/>
          <w:szCs w:val="24"/>
          <w:lang w:val="es-ES" w:eastAsia="es-ES"/>
        </w:rPr>
        <w:t>Tunungúa</w:t>
      </w:r>
      <w:proofErr w:type="spellEnd"/>
      <w:r w:rsidRPr="00E3196B">
        <w:rPr>
          <w:rFonts w:eastAsia="Times New Roman" w:cs="Arial"/>
          <w:color w:val="000000" w:themeColor="text1"/>
          <w:spacing w:val="-3"/>
          <w:szCs w:val="24"/>
          <w:lang w:val="es-ES" w:eastAsia="es-ES"/>
        </w:rPr>
        <w:t xml:space="preserve"> y el Tramo La Belleza - Sucre Oriental acorde a</w:t>
      </w:r>
      <w:r w:rsidR="00010370">
        <w:rPr>
          <w:rFonts w:eastAsia="Times New Roman" w:cs="Arial"/>
          <w:color w:val="000000" w:themeColor="text1"/>
          <w:spacing w:val="-3"/>
          <w:szCs w:val="24"/>
          <w:lang w:val="es-ES" w:eastAsia="es-ES"/>
        </w:rPr>
        <w:t xml:space="preserve"> </w:t>
      </w:r>
      <w:r w:rsidRPr="00E3196B">
        <w:rPr>
          <w:rFonts w:eastAsia="Times New Roman" w:cs="Arial"/>
          <w:color w:val="000000" w:themeColor="text1"/>
          <w:spacing w:val="-3"/>
          <w:szCs w:val="24"/>
          <w:lang w:val="es-ES" w:eastAsia="es-ES"/>
        </w:rPr>
        <w:t>la no</w:t>
      </w:r>
      <w:r>
        <w:rPr>
          <w:rFonts w:eastAsia="Times New Roman" w:cs="Arial"/>
          <w:color w:val="000000" w:themeColor="text1"/>
          <w:spacing w:val="-3"/>
          <w:szCs w:val="24"/>
          <w:lang w:val="es-ES" w:eastAsia="es-ES"/>
        </w:rPr>
        <w:t>t</w:t>
      </w:r>
      <w:r w:rsidRPr="00E3196B">
        <w:rPr>
          <w:rFonts w:eastAsia="Times New Roman" w:cs="Arial"/>
          <w:color w:val="000000" w:themeColor="text1"/>
          <w:spacing w:val="-3"/>
          <w:szCs w:val="24"/>
          <w:lang w:val="es-ES" w:eastAsia="es-ES"/>
        </w:rPr>
        <w:t>a 1) del anexo 1</w:t>
      </w:r>
      <w:r>
        <w:rPr>
          <w:rFonts w:eastAsia="Times New Roman" w:cs="Arial"/>
          <w:color w:val="000000" w:themeColor="text1"/>
          <w:spacing w:val="-3"/>
          <w:szCs w:val="24"/>
          <w:lang w:val="es-ES" w:eastAsia="es-ES"/>
        </w:rPr>
        <w:t>, se</w:t>
      </w:r>
      <w:r w:rsidRPr="00E3196B">
        <w:rPr>
          <w:rFonts w:eastAsia="Times New Roman" w:cs="Arial"/>
          <w:color w:val="000000" w:themeColor="text1"/>
          <w:spacing w:val="-3"/>
          <w:szCs w:val="24"/>
          <w:lang w:val="es-ES" w:eastAsia="es-ES"/>
        </w:rPr>
        <w:t xml:space="preserve"> señala que</w:t>
      </w:r>
      <w:r>
        <w:rPr>
          <w:rFonts w:eastAsia="Times New Roman" w:cs="Arial"/>
          <w:color w:val="000000" w:themeColor="text1"/>
          <w:spacing w:val="-3"/>
          <w:szCs w:val="24"/>
          <w:lang w:val="es-ES" w:eastAsia="es-ES"/>
        </w:rPr>
        <w:t xml:space="preserve">: </w:t>
      </w:r>
    </w:p>
    <w:p w14:paraId="62B6BD3B" w14:textId="77777777" w:rsidR="000238E4" w:rsidRDefault="000238E4" w:rsidP="000238E4">
      <w:pPr>
        <w:spacing w:after="0"/>
        <w:jc w:val="both"/>
        <w:rPr>
          <w:rFonts w:eastAsia="Times New Roman" w:cs="Arial"/>
          <w:color w:val="000000" w:themeColor="text1"/>
          <w:spacing w:val="-3"/>
          <w:szCs w:val="24"/>
          <w:lang w:val="es-ES" w:eastAsia="es-ES"/>
        </w:rPr>
      </w:pPr>
    </w:p>
    <w:p w14:paraId="17865EC5" w14:textId="77777777" w:rsidR="000238E4" w:rsidRDefault="000238E4" w:rsidP="001A3546">
      <w:pPr>
        <w:spacing w:after="0"/>
        <w:ind w:left="284"/>
        <w:jc w:val="both"/>
        <w:rPr>
          <w:rFonts w:eastAsia="Times New Roman" w:cs="Arial"/>
          <w:color w:val="000000" w:themeColor="text1"/>
          <w:spacing w:val="-3"/>
          <w:szCs w:val="24"/>
          <w:lang w:val="es-ES" w:eastAsia="es-ES"/>
        </w:rPr>
      </w:pPr>
      <w:r w:rsidRPr="00E3196B">
        <w:rPr>
          <w:rFonts w:eastAsia="Times New Roman" w:cs="Arial"/>
          <w:color w:val="000000" w:themeColor="text1"/>
          <w:spacing w:val="-3"/>
          <w:szCs w:val="24"/>
          <w:lang w:val="es-ES" w:eastAsia="es-ES"/>
        </w:rPr>
        <w:t>“</w:t>
      </w:r>
      <w:r w:rsidRPr="00E3196B">
        <w:rPr>
          <w:rFonts w:eastAsia="Times New Roman" w:cs="Arial"/>
          <w:i/>
          <w:iCs/>
          <w:color w:val="000000" w:themeColor="text1"/>
          <w:spacing w:val="-3"/>
          <w:sz w:val="22"/>
          <w:lang w:val="es-ES" w:eastAsia="es-ES"/>
        </w:rPr>
        <w:t>Se consideró el valor VRAN del tramo existente como un valor indicativo debido a que estos gasoductos en caso de reemplazarse deben iniciar un proceso como nuevos activos por tanto solo se aplica un valor VAO</w:t>
      </w:r>
      <w:r w:rsidRPr="00E3196B">
        <w:rPr>
          <w:rFonts w:eastAsia="Times New Roman" w:cs="Arial"/>
          <w:color w:val="000000" w:themeColor="text1"/>
          <w:spacing w:val="-3"/>
          <w:szCs w:val="24"/>
          <w:lang w:val="es-ES" w:eastAsia="es-ES"/>
        </w:rPr>
        <w:t>”</w:t>
      </w:r>
    </w:p>
    <w:p w14:paraId="234E3EB2" w14:textId="77777777" w:rsidR="000238E4" w:rsidRDefault="000238E4" w:rsidP="005B67E6">
      <w:pPr>
        <w:spacing w:after="0"/>
        <w:jc w:val="both"/>
        <w:rPr>
          <w:rFonts w:eastAsia="Times New Roman" w:cs="Arial"/>
          <w:color w:val="000000" w:themeColor="text1"/>
          <w:spacing w:val="-3"/>
          <w:szCs w:val="24"/>
          <w:lang w:val="es-ES" w:eastAsia="es-ES"/>
        </w:rPr>
      </w:pPr>
    </w:p>
    <w:p w14:paraId="6DEB78F4" w14:textId="7D4A2266" w:rsidR="00016169" w:rsidRDefault="003937E6" w:rsidP="005B67E6">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Adicionalmente, </w:t>
      </w:r>
      <w:r w:rsidR="00016169" w:rsidDel="00724FAD">
        <w:rPr>
          <w:rFonts w:eastAsia="Times New Roman" w:cs="Arial"/>
          <w:color w:val="000000" w:themeColor="text1"/>
          <w:spacing w:val="-3"/>
          <w:szCs w:val="24"/>
          <w:lang w:val="es-ES" w:eastAsia="es-ES"/>
        </w:rPr>
        <w:t>e</w:t>
      </w:r>
      <w:r w:rsidR="00016169">
        <w:rPr>
          <w:rFonts w:eastAsia="Times New Roman" w:cs="Arial"/>
          <w:color w:val="000000" w:themeColor="text1"/>
          <w:spacing w:val="-3"/>
          <w:szCs w:val="24"/>
          <w:lang w:val="es-ES" w:eastAsia="es-ES"/>
        </w:rPr>
        <w:t>n</w:t>
      </w:r>
      <w:r w:rsidR="00724FAD">
        <w:rPr>
          <w:rFonts w:eastAsia="Times New Roman" w:cs="Arial"/>
          <w:color w:val="000000" w:themeColor="text1"/>
          <w:spacing w:val="-3"/>
          <w:szCs w:val="24"/>
          <w:lang w:val="es-ES" w:eastAsia="es-ES"/>
        </w:rPr>
        <w:t xml:space="preserve"> el</w:t>
      </w:r>
      <w:r w:rsidR="00016169">
        <w:rPr>
          <w:rFonts w:eastAsia="Times New Roman" w:cs="Arial"/>
          <w:color w:val="000000" w:themeColor="text1"/>
          <w:spacing w:val="-3"/>
          <w:szCs w:val="24"/>
          <w:lang w:val="es-ES" w:eastAsia="es-ES"/>
        </w:rPr>
        <w:t xml:space="preserve"> </w:t>
      </w:r>
      <w:r w:rsidR="00D83497">
        <w:rPr>
          <w:rFonts w:eastAsia="Times New Roman" w:cs="Arial"/>
          <w:color w:val="000000" w:themeColor="text1"/>
          <w:spacing w:val="-3"/>
          <w:szCs w:val="24"/>
          <w:lang w:val="es-ES" w:eastAsia="es-ES"/>
        </w:rPr>
        <w:t xml:space="preserve">numeral 3.18 del </w:t>
      </w:r>
      <w:r w:rsidR="00016169">
        <w:rPr>
          <w:rFonts w:eastAsia="Times New Roman" w:cs="Arial"/>
          <w:color w:val="000000" w:themeColor="text1"/>
          <w:spacing w:val="-3"/>
          <w:szCs w:val="24"/>
          <w:lang w:val="es-ES" w:eastAsia="es-ES"/>
        </w:rPr>
        <w:t>documento</w:t>
      </w:r>
      <w:r w:rsidR="00824E38">
        <w:rPr>
          <w:rFonts w:eastAsia="Times New Roman" w:cs="Arial"/>
          <w:color w:val="000000" w:themeColor="text1"/>
          <w:spacing w:val="-3"/>
          <w:szCs w:val="24"/>
          <w:lang w:val="es-ES" w:eastAsia="es-ES"/>
        </w:rPr>
        <w:t xml:space="preserve"> </w:t>
      </w:r>
      <w:r w:rsidR="00C46BFB">
        <w:rPr>
          <w:rFonts w:eastAsia="Times New Roman" w:cs="Arial"/>
          <w:color w:val="000000" w:themeColor="text1"/>
          <w:spacing w:val="-3"/>
          <w:szCs w:val="24"/>
          <w:lang w:val="es-ES" w:eastAsia="es-ES"/>
        </w:rPr>
        <w:t>D082 de 2021</w:t>
      </w:r>
      <w:r w:rsidR="004D2C7B">
        <w:rPr>
          <w:rFonts w:eastAsia="Times New Roman" w:cs="Arial"/>
          <w:color w:val="000000" w:themeColor="text1"/>
          <w:spacing w:val="-3"/>
          <w:szCs w:val="24"/>
          <w:lang w:val="es-ES" w:eastAsia="es-ES"/>
        </w:rPr>
        <w:t>, soporte</w:t>
      </w:r>
      <w:r w:rsidR="00C46BFB" w:rsidDel="00824E38">
        <w:rPr>
          <w:rFonts w:eastAsia="Times New Roman" w:cs="Arial"/>
          <w:color w:val="000000" w:themeColor="text1"/>
          <w:spacing w:val="-3"/>
          <w:szCs w:val="24"/>
          <w:lang w:val="es-ES" w:eastAsia="es-ES"/>
        </w:rPr>
        <w:t xml:space="preserve"> </w:t>
      </w:r>
      <w:r w:rsidR="00D77F62">
        <w:rPr>
          <w:rFonts w:eastAsia="Times New Roman" w:cs="Arial"/>
          <w:color w:val="000000" w:themeColor="text1"/>
          <w:spacing w:val="-3"/>
          <w:szCs w:val="24"/>
          <w:lang w:val="es-ES" w:eastAsia="es-ES"/>
        </w:rPr>
        <w:t>de</w:t>
      </w:r>
      <w:r w:rsidR="00C46BFB">
        <w:rPr>
          <w:rFonts w:eastAsia="Times New Roman" w:cs="Arial"/>
          <w:color w:val="000000" w:themeColor="text1"/>
          <w:spacing w:val="-3"/>
          <w:szCs w:val="24"/>
          <w:lang w:val="es-ES" w:eastAsia="es-ES"/>
        </w:rPr>
        <w:t xml:space="preserve"> la Resolución CREG 099 de 2021</w:t>
      </w:r>
      <w:r w:rsidR="00D83497">
        <w:rPr>
          <w:rFonts w:eastAsia="Times New Roman" w:cs="Arial"/>
          <w:color w:val="000000" w:themeColor="text1"/>
          <w:spacing w:val="-3"/>
          <w:szCs w:val="24"/>
          <w:lang w:val="es-ES" w:eastAsia="es-ES"/>
        </w:rPr>
        <w:t>, se</w:t>
      </w:r>
      <w:r w:rsidR="009C51A2">
        <w:rPr>
          <w:rFonts w:eastAsia="Times New Roman" w:cs="Arial"/>
          <w:color w:val="000000" w:themeColor="text1"/>
          <w:spacing w:val="-3"/>
          <w:szCs w:val="24"/>
          <w:lang w:val="es-ES" w:eastAsia="es-ES"/>
        </w:rPr>
        <w:t xml:space="preserve"> señala </w:t>
      </w:r>
      <w:r w:rsidR="004D2C7B">
        <w:rPr>
          <w:rFonts w:eastAsia="Times New Roman" w:cs="Arial"/>
          <w:color w:val="000000" w:themeColor="text1"/>
          <w:spacing w:val="-3"/>
          <w:szCs w:val="24"/>
          <w:lang w:val="es-ES" w:eastAsia="es-ES"/>
        </w:rPr>
        <w:t xml:space="preserve">lo siguiente </w:t>
      </w:r>
      <w:r w:rsidR="004E7E74">
        <w:rPr>
          <w:rFonts w:eastAsia="Times New Roman" w:cs="Arial"/>
          <w:color w:val="000000" w:themeColor="text1"/>
          <w:spacing w:val="-3"/>
          <w:szCs w:val="24"/>
          <w:lang w:val="es-ES" w:eastAsia="es-ES"/>
        </w:rPr>
        <w:t xml:space="preserve">acerca de los </w:t>
      </w:r>
      <w:r w:rsidR="009C51A2">
        <w:rPr>
          <w:rFonts w:eastAsia="Times New Roman" w:cs="Arial"/>
          <w:color w:val="000000" w:themeColor="text1"/>
          <w:spacing w:val="-3"/>
          <w:szCs w:val="24"/>
          <w:lang w:val="es-ES" w:eastAsia="es-ES"/>
        </w:rPr>
        <w:t>valores a retirar de la base de inversión</w:t>
      </w:r>
      <w:r w:rsidR="004E7E74">
        <w:rPr>
          <w:rFonts w:eastAsia="Times New Roman" w:cs="Arial"/>
          <w:color w:val="000000" w:themeColor="text1"/>
          <w:spacing w:val="-3"/>
          <w:szCs w:val="24"/>
          <w:lang w:val="es-ES" w:eastAsia="es-ES"/>
        </w:rPr>
        <w:t>:</w:t>
      </w:r>
      <w:r w:rsidR="009C51A2" w:rsidDel="004E7E74">
        <w:rPr>
          <w:rFonts w:eastAsia="Times New Roman" w:cs="Arial"/>
          <w:color w:val="000000" w:themeColor="text1"/>
          <w:spacing w:val="-3"/>
          <w:szCs w:val="24"/>
          <w:lang w:val="es-ES" w:eastAsia="es-ES"/>
        </w:rPr>
        <w:t xml:space="preserve"> </w:t>
      </w:r>
    </w:p>
    <w:p w14:paraId="7B1057F5" w14:textId="77777777" w:rsidR="009C51A2" w:rsidRDefault="009C51A2" w:rsidP="005B67E6">
      <w:pPr>
        <w:spacing w:after="0"/>
        <w:jc w:val="both"/>
        <w:rPr>
          <w:rFonts w:eastAsia="Times New Roman" w:cs="Arial"/>
          <w:color w:val="000000" w:themeColor="text1"/>
          <w:spacing w:val="-3"/>
          <w:szCs w:val="24"/>
          <w:lang w:val="es-ES" w:eastAsia="es-ES"/>
        </w:rPr>
      </w:pPr>
    </w:p>
    <w:p w14:paraId="4F552A6E" w14:textId="170CB18B" w:rsidR="009C51A2" w:rsidRPr="009C51A2" w:rsidRDefault="009C51A2" w:rsidP="00504957">
      <w:pPr>
        <w:pStyle w:val="Cita"/>
        <w:rPr>
          <w:lang w:val="es-ES"/>
        </w:rPr>
      </w:pPr>
      <w:r>
        <w:rPr>
          <w:lang w:val="es-ES"/>
        </w:rPr>
        <w:t>“</w:t>
      </w:r>
      <w:r w:rsidRPr="009C51A2">
        <w:rPr>
          <w:lang w:val="es-ES"/>
        </w:rPr>
        <w:t>En la revisión interna se ha identificado la valoración de las variantes señaladas en la comunicación en la información que reposa en la comisión cuyo resumen se incluye en la siguiente tabla:</w:t>
      </w:r>
    </w:p>
    <w:p w14:paraId="1149A8E3" w14:textId="77777777" w:rsidR="009C51A2" w:rsidRPr="009C51A2" w:rsidRDefault="009C51A2" w:rsidP="00504957">
      <w:pPr>
        <w:pStyle w:val="Cita"/>
      </w:pPr>
    </w:p>
    <w:tbl>
      <w:tblPr>
        <w:tblStyle w:val="Tablanormal1"/>
        <w:tblW w:w="4474" w:type="pct"/>
        <w:tblInd w:w="421" w:type="dxa"/>
        <w:tblLook w:val="04A0" w:firstRow="1" w:lastRow="0" w:firstColumn="1" w:lastColumn="0" w:noHBand="0" w:noVBand="1"/>
      </w:tblPr>
      <w:tblGrid>
        <w:gridCol w:w="2359"/>
        <w:gridCol w:w="2877"/>
        <w:gridCol w:w="1929"/>
        <w:gridCol w:w="1760"/>
      </w:tblGrid>
      <w:tr w:rsidR="009C51A2" w:rsidRPr="009C51A2" w14:paraId="375864E7" w14:textId="77777777" w:rsidTr="0050495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51E0C7A8" w14:textId="5AB5D3C1" w:rsidR="009C51A2" w:rsidRPr="009C51A2" w:rsidRDefault="009C51A2" w:rsidP="00504957">
            <w:pPr>
              <w:pStyle w:val="Cita"/>
              <w:rPr>
                <w:rFonts w:ascii="Calibri" w:hAnsi="Calibri" w:cs="Calibri"/>
                <w:szCs w:val="16"/>
              </w:rPr>
            </w:pPr>
            <w:r w:rsidRPr="009C51A2">
              <w:rPr>
                <w:szCs w:val="16"/>
              </w:rPr>
              <w:t xml:space="preserve">Tabla </w:t>
            </w:r>
            <w:r w:rsidR="0063235A" w:rsidRPr="002371D6">
              <w:rPr>
                <w:szCs w:val="16"/>
              </w:rPr>
              <w:t>13</w:t>
            </w:r>
            <w:r w:rsidR="0063235A" w:rsidRPr="009C51A2">
              <w:rPr>
                <w:szCs w:val="16"/>
              </w:rPr>
              <w:t xml:space="preserve"> Información</w:t>
            </w:r>
            <w:r w:rsidRPr="009C51A2">
              <w:rPr>
                <w:szCs w:val="16"/>
              </w:rPr>
              <w:t xml:space="preserve"> de variantes que reposa en la comisión</w:t>
            </w:r>
          </w:p>
        </w:tc>
      </w:tr>
      <w:tr w:rsidR="009C51A2" w:rsidRPr="009C51A2" w14:paraId="1047E6B1" w14:textId="77777777" w:rsidTr="005049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5523C8D5"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Fuente:</w:t>
            </w:r>
          </w:p>
        </w:tc>
        <w:tc>
          <w:tcPr>
            <w:tcW w:w="1734" w:type="pct"/>
            <w:noWrap/>
            <w:hideMark/>
          </w:tcPr>
          <w:p w14:paraId="58DC8831"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4"/>
              </w:rPr>
            </w:pPr>
            <w:r w:rsidRPr="00504957">
              <w:rPr>
                <w:rFonts w:ascii="Calibri" w:hAnsi="Calibri" w:cs="Calibri"/>
                <w:b/>
                <w:bCs/>
                <w:sz w:val="16"/>
                <w:szCs w:val="14"/>
              </w:rPr>
              <w:t>Variante</w:t>
            </w:r>
          </w:p>
        </w:tc>
        <w:tc>
          <w:tcPr>
            <w:tcW w:w="1147" w:type="pct"/>
            <w:noWrap/>
            <w:hideMark/>
          </w:tcPr>
          <w:p w14:paraId="1F61A076"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4"/>
              </w:rPr>
            </w:pPr>
            <w:r w:rsidRPr="00504957">
              <w:rPr>
                <w:rFonts w:ascii="Calibri" w:hAnsi="Calibri" w:cs="Calibri"/>
                <w:b/>
                <w:bCs/>
                <w:sz w:val="16"/>
                <w:szCs w:val="14"/>
              </w:rPr>
              <w:t>Gasoducto</w:t>
            </w:r>
          </w:p>
        </w:tc>
        <w:tc>
          <w:tcPr>
            <w:tcW w:w="705" w:type="pct"/>
            <w:noWrap/>
            <w:hideMark/>
          </w:tcPr>
          <w:p w14:paraId="7F558E7A"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4"/>
              </w:rPr>
            </w:pPr>
            <w:r w:rsidRPr="00504957">
              <w:rPr>
                <w:rFonts w:ascii="Calibri" w:hAnsi="Calibri" w:cs="Calibri"/>
                <w:b/>
                <w:bCs/>
                <w:sz w:val="16"/>
                <w:szCs w:val="14"/>
              </w:rPr>
              <w:t>Valor USD dic 2009</w:t>
            </w:r>
          </w:p>
        </w:tc>
      </w:tr>
      <w:tr w:rsidR="009C51A2" w:rsidRPr="009C51A2" w14:paraId="4FEDDBDC" w14:textId="77777777" w:rsidTr="00504957">
        <w:trPr>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169DE42"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121 - pág. 172  </w:t>
            </w:r>
          </w:p>
        </w:tc>
        <w:tc>
          <w:tcPr>
            <w:tcW w:w="1734" w:type="pct"/>
            <w:noWrap/>
            <w:hideMark/>
          </w:tcPr>
          <w:p w14:paraId="4580482B"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CHECUA </w:t>
            </w:r>
          </w:p>
        </w:tc>
        <w:tc>
          <w:tcPr>
            <w:tcW w:w="1147" w:type="pct"/>
            <w:noWrap/>
            <w:hideMark/>
          </w:tcPr>
          <w:p w14:paraId="655D6A51"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La Belleza - Cogua </w:t>
            </w:r>
          </w:p>
        </w:tc>
        <w:tc>
          <w:tcPr>
            <w:tcW w:w="705" w:type="pct"/>
            <w:noWrap/>
            <w:hideMark/>
          </w:tcPr>
          <w:p w14:paraId="4BC49751"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6.286.005 </w:t>
            </w:r>
          </w:p>
        </w:tc>
      </w:tr>
      <w:tr w:rsidR="009C51A2" w:rsidRPr="009C51A2" w14:paraId="4B0A115B" w14:textId="77777777" w:rsidTr="005049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7318742A"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110 DS 080 pág. 225 </w:t>
            </w:r>
          </w:p>
        </w:tc>
        <w:tc>
          <w:tcPr>
            <w:tcW w:w="1734" w:type="pct"/>
            <w:noWrap/>
            <w:hideMark/>
          </w:tcPr>
          <w:p w14:paraId="0C2D6905"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Puente Guillermo - Sucre Oriental </w:t>
            </w:r>
          </w:p>
        </w:tc>
        <w:tc>
          <w:tcPr>
            <w:tcW w:w="1147" w:type="pct"/>
            <w:noWrap/>
            <w:hideMark/>
          </w:tcPr>
          <w:p w14:paraId="45229EBC"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La Belleza - Cogua </w:t>
            </w:r>
          </w:p>
        </w:tc>
        <w:tc>
          <w:tcPr>
            <w:tcW w:w="705" w:type="pct"/>
            <w:noWrap/>
            <w:hideMark/>
          </w:tcPr>
          <w:p w14:paraId="5C307BCB"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9.171.628 </w:t>
            </w:r>
          </w:p>
        </w:tc>
      </w:tr>
      <w:tr w:rsidR="009C51A2" w:rsidRPr="009C51A2" w14:paraId="1289E7F3" w14:textId="77777777" w:rsidTr="00504957">
        <w:trPr>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5C48BE80"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106-2018 </w:t>
            </w:r>
          </w:p>
        </w:tc>
        <w:tc>
          <w:tcPr>
            <w:tcW w:w="1734" w:type="pct"/>
            <w:noWrap/>
            <w:hideMark/>
          </w:tcPr>
          <w:p w14:paraId="6DC12AA9"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Nazareth </w:t>
            </w:r>
          </w:p>
        </w:tc>
        <w:tc>
          <w:tcPr>
            <w:tcW w:w="1147" w:type="pct"/>
            <w:noWrap/>
            <w:hideMark/>
          </w:tcPr>
          <w:p w14:paraId="268E8065"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La Belleza- Vasconia </w:t>
            </w:r>
          </w:p>
        </w:tc>
        <w:tc>
          <w:tcPr>
            <w:tcW w:w="705" w:type="pct"/>
            <w:noWrap/>
            <w:hideMark/>
          </w:tcPr>
          <w:p w14:paraId="43E064DA"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2.832.889 </w:t>
            </w:r>
          </w:p>
        </w:tc>
      </w:tr>
      <w:tr w:rsidR="009C51A2" w:rsidRPr="009C51A2" w14:paraId="56FB6097" w14:textId="77777777" w:rsidTr="005049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4F940634"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106-2018 </w:t>
            </w:r>
          </w:p>
        </w:tc>
        <w:tc>
          <w:tcPr>
            <w:tcW w:w="1734" w:type="pct"/>
            <w:noWrap/>
            <w:hideMark/>
          </w:tcPr>
          <w:p w14:paraId="7CBEEA2E"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Variante </w:t>
            </w:r>
            <w:proofErr w:type="spellStart"/>
            <w:r w:rsidRPr="00504957">
              <w:rPr>
                <w:rFonts w:ascii="Calibri" w:hAnsi="Calibri" w:cs="Calibri"/>
                <w:sz w:val="16"/>
                <w:szCs w:val="14"/>
              </w:rPr>
              <w:t>Yamunta</w:t>
            </w:r>
            <w:proofErr w:type="spellEnd"/>
            <w:r w:rsidRPr="00504957">
              <w:rPr>
                <w:rFonts w:ascii="Calibri" w:hAnsi="Calibri" w:cs="Calibri"/>
                <w:sz w:val="16"/>
                <w:szCs w:val="14"/>
              </w:rPr>
              <w:t xml:space="preserve"> </w:t>
            </w:r>
          </w:p>
        </w:tc>
        <w:tc>
          <w:tcPr>
            <w:tcW w:w="1147" w:type="pct"/>
            <w:noWrap/>
            <w:hideMark/>
          </w:tcPr>
          <w:p w14:paraId="432AD920"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 El porvenir - La Belleza </w:t>
            </w:r>
          </w:p>
        </w:tc>
        <w:tc>
          <w:tcPr>
            <w:tcW w:w="705" w:type="pct"/>
            <w:noWrap/>
            <w:hideMark/>
          </w:tcPr>
          <w:p w14:paraId="5DD8888D" w14:textId="77777777" w:rsidR="009C51A2" w:rsidRPr="00504957" w:rsidRDefault="009C51A2" w:rsidP="00504957">
            <w:pPr>
              <w:pStyle w:val="Cita"/>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3.286.347 </w:t>
            </w:r>
          </w:p>
        </w:tc>
      </w:tr>
      <w:tr w:rsidR="009C51A2" w:rsidRPr="009C51A2" w14:paraId="1087CAE8" w14:textId="77777777" w:rsidTr="00504957">
        <w:trPr>
          <w:trHeight w:val="283"/>
        </w:trPr>
        <w:tc>
          <w:tcPr>
            <w:cnfStyle w:val="001000000000" w:firstRow="0" w:lastRow="0" w:firstColumn="1" w:lastColumn="0" w:oddVBand="0" w:evenVBand="0" w:oddHBand="0" w:evenHBand="0" w:firstRowFirstColumn="0" w:firstRowLastColumn="0" w:lastRowFirstColumn="0" w:lastRowLastColumn="0"/>
            <w:tcW w:w="1413" w:type="pct"/>
            <w:noWrap/>
            <w:hideMark/>
          </w:tcPr>
          <w:p w14:paraId="04B552C2" w14:textId="77777777" w:rsidR="009C51A2" w:rsidRPr="00504957" w:rsidRDefault="009C51A2" w:rsidP="00504957">
            <w:pPr>
              <w:pStyle w:val="Cita"/>
              <w:rPr>
                <w:rFonts w:ascii="Calibri" w:hAnsi="Calibri" w:cs="Calibri"/>
                <w:sz w:val="16"/>
                <w:szCs w:val="14"/>
              </w:rPr>
            </w:pPr>
            <w:r w:rsidRPr="00504957">
              <w:rPr>
                <w:rFonts w:ascii="Calibri" w:hAnsi="Calibri" w:cs="Calibri"/>
                <w:sz w:val="16"/>
                <w:szCs w:val="14"/>
              </w:rPr>
              <w:t xml:space="preserve"> Res CREG 106-2018 </w:t>
            </w:r>
          </w:p>
        </w:tc>
        <w:tc>
          <w:tcPr>
            <w:tcW w:w="1734" w:type="pct"/>
            <w:noWrap/>
            <w:hideMark/>
          </w:tcPr>
          <w:p w14:paraId="3B347E0C" w14:textId="1FD90856" w:rsidR="009C51A2" w:rsidRPr="00504957" w:rsidRDefault="009F3110"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Variante Rio</w:t>
            </w:r>
            <w:r w:rsidR="009C51A2" w:rsidRPr="00504957">
              <w:rPr>
                <w:rFonts w:ascii="Calibri" w:hAnsi="Calibri" w:cs="Calibri"/>
                <w:sz w:val="16"/>
                <w:szCs w:val="14"/>
              </w:rPr>
              <w:t xml:space="preserve"> </w:t>
            </w:r>
            <w:proofErr w:type="spellStart"/>
            <w:r w:rsidR="009C51A2" w:rsidRPr="00504957">
              <w:rPr>
                <w:rFonts w:ascii="Calibri" w:hAnsi="Calibri" w:cs="Calibri"/>
                <w:sz w:val="16"/>
                <w:szCs w:val="14"/>
              </w:rPr>
              <w:t>Guarinó</w:t>
            </w:r>
            <w:proofErr w:type="spellEnd"/>
          </w:p>
        </w:tc>
        <w:tc>
          <w:tcPr>
            <w:tcW w:w="1147" w:type="pct"/>
            <w:noWrap/>
            <w:hideMark/>
          </w:tcPr>
          <w:p w14:paraId="67D45438"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Vasconia - Mariquita</w:t>
            </w:r>
          </w:p>
        </w:tc>
        <w:tc>
          <w:tcPr>
            <w:tcW w:w="705" w:type="pct"/>
            <w:noWrap/>
            <w:hideMark/>
          </w:tcPr>
          <w:p w14:paraId="57AFDB95" w14:textId="77777777" w:rsidR="009C51A2" w:rsidRPr="00504957" w:rsidRDefault="009C51A2" w:rsidP="00504957">
            <w:pPr>
              <w:pStyle w:val="Cita"/>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4"/>
              </w:rPr>
            </w:pPr>
            <w:r w:rsidRPr="00504957">
              <w:rPr>
                <w:rFonts w:ascii="Calibri" w:hAnsi="Calibri" w:cs="Calibri"/>
                <w:sz w:val="16"/>
                <w:szCs w:val="14"/>
              </w:rPr>
              <w:t xml:space="preserve">5.252.478 </w:t>
            </w:r>
          </w:p>
        </w:tc>
      </w:tr>
    </w:tbl>
    <w:p w14:paraId="447FEFB6" w14:textId="77777777" w:rsidR="009C51A2" w:rsidRPr="009C51A2" w:rsidRDefault="009C51A2" w:rsidP="00504957">
      <w:pPr>
        <w:pStyle w:val="Cita"/>
        <w:rPr>
          <w:lang w:val="es-ES"/>
        </w:rPr>
      </w:pPr>
    </w:p>
    <w:p w14:paraId="7A4FF228" w14:textId="7689E5CF" w:rsidR="009C51A2" w:rsidRPr="009C51A2" w:rsidRDefault="009C51A2" w:rsidP="005A6D58">
      <w:pPr>
        <w:pStyle w:val="Cita"/>
        <w:rPr>
          <w:i w:val="0"/>
          <w:iCs w:val="0"/>
          <w:sz w:val="22"/>
          <w:szCs w:val="21"/>
          <w:lang w:val="es-ES"/>
        </w:rPr>
      </w:pPr>
      <w:r w:rsidRPr="009C51A2">
        <w:rPr>
          <w:lang w:val="es-ES"/>
        </w:rPr>
        <w:t xml:space="preserve">Considerando el principio de </w:t>
      </w:r>
      <w:r w:rsidRPr="009C51A2">
        <w:t>‘</w:t>
      </w:r>
      <w:proofErr w:type="spellStart"/>
      <w:r w:rsidRPr="009C51A2">
        <w:t>accesorium</w:t>
      </w:r>
      <w:proofErr w:type="spellEnd"/>
      <w:r w:rsidRPr="009C51A2">
        <w:t xml:space="preserve"> </w:t>
      </w:r>
      <w:proofErr w:type="spellStart"/>
      <w:r w:rsidRPr="009C51A2">
        <w:t>sequitur</w:t>
      </w:r>
      <w:proofErr w:type="spellEnd"/>
      <w:r w:rsidRPr="009C51A2">
        <w:t xml:space="preserve"> </w:t>
      </w:r>
      <w:proofErr w:type="spellStart"/>
      <w:r w:rsidRPr="009C51A2">
        <w:t>principale</w:t>
      </w:r>
      <w:proofErr w:type="spellEnd"/>
      <w:r w:rsidRPr="009C51A2">
        <w:t>’</w:t>
      </w:r>
      <w:r w:rsidRPr="009C51A2">
        <w:rPr>
          <w:lang w:val="es-ES"/>
        </w:rPr>
        <w:t xml:space="preserve"> la variante Sucre Oriental -Puente Guillermo y </w:t>
      </w:r>
      <w:proofErr w:type="spellStart"/>
      <w:r w:rsidRPr="009C51A2">
        <w:rPr>
          <w:lang w:val="es-ES"/>
        </w:rPr>
        <w:t>Checua</w:t>
      </w:r>
      <w:proofErr w:type="spellEnd"/>
      <w:r w:rsidRPr="009C51A2">
        <w:rPr>
          <w:lang w:val="es-ES"/>
        </w:rPr>
        <w:t xml:space="preserve"> se deben retirar de la base de activos</w:t>
      </w:r>
      <w:r w:rsidRPr="009C51A2">
        <w:t xml:space="preserve">, por </w:t>
      </w:r>
      <w:r w:rsidR="0063235A" w:rsidRPr="009C51A2">
        <w:t>tanto,</w:t>
      </w:r>
      <w:r w:rsidRPr="009C51A2">
        <w:t xml:space="preserve"> no se aceptan los comentarios de TGI en la comunicación </w:t>
      </w:r>
      <w:r w:rsidRPr="009C51A2">
        <w:rPr>
          <w:lang w:val="es-ES"/>
        </w:rPr>
        <w:t>E-2019-004243 respecto a mantener los activos en la base tarifaria, considerando además lo aplicado en procesos similares resueltos previamente</w:t>
      </w:r>
      <w:r w:rsidRPr="009C51A2">
        <w:t xml:space="preserve">. Para el caso de la Variante Puente Guillermo se profundiza en el numeral </w:t>
      </w:r>
      <w:r w:rsidR="003670FC" w:rsidRPr="003670FC">
        <w:t>3.2.2.1</w:t>
      </w:r>
      <w:r w:rsidR="00E96202">
        <w:t>.”</w:t>
      </w:r>
    </w:p>
    <w:p w14:paraId="0F12AEA0" w14:textId="34723015" w:rsidR="009A3DA9" w:rsidRDefault="00417B96" w:rsidP="00D60139">
      <w:pPr>
        <w:spacing w:after="0"/>
        <w:jc w:val="both"/>
        <w:rPr>
          <w:rFonts w:eastAsia="Times New Roman" w:cs="Arial"/>
          <w:color w:val="000000" w:themeColor="text1"/>
          <w:spacing w:val="-3"/>
          <w:szCs w:val="24"/>
          <w:lang w:val="es-ES" w:eastAsia="es-ES"/>
        </w:rPr>
      </w:pPr>
      <w:r w:rsidRPr="00417B96">
        <w:rPr>
          <w:rFonts w:eastAsia="Times New Roman" w:cs="Arial"/>
          <w:color w:val="000000" w:themeColor="text1"/>
          <w:spacing w:val="-3"/>
          <w:szCs w:val="24"/>
          <w:lang w:val="es-ES" w:eastAsia="es-ES"/>
        </w:rPr>
        <w:t>Mediante</w:t>
      </w:r>
      <w:r w:rsidR="00F545F7">
        <w:rPr>
          <w:rFonts w:eastAsia="Times New Roman" w:cs="Arial"/>
          <w:color w:val="000000" w:themeColor="text1"/>
          <w:spacing w:val="-3"/>
          <w:szCs w:val="24"/>
          <w:lang w:val="es-ES" w:eastAsia="es-ES"/>
        </w:rPr>
        <w:t xml:space="preserve"> los</w:t>
      </w:r>
      <w:r w:rsidRPr="00417B96">
        <w:rPr>
          <w:rFonts w:eastAsia="Times New Roman" w:cs="Arial"/>
          <w:color w:val="000000" w:themeColor="text1"/>
          <w:spacing w:val="-3"/>
          <w:szCs w:val="24"/>
          <w:lang w:val="es-ES" w:eastAsia="es-ES"/>
        </w:rPr>
        <w:t xml:space="preserve"> radicados</w:t>
      </w:r>
      <w:r w:rsidR="00F45851">
        <w:rPr>
          <w:rFonts w:eastAsia="Times New Roman" w:cs="Arial"/>
          <w:color w:val="000000" w:themeColor="text1"/>
          <w:spacing w:val="-3"/>
          <w:szCs w:val="24"/>
          <w:lang w:val="es-ES" w:eastAsia="es-ES"/>
        </w:rPr>
        <w:t xml:space="preserve"> CREG</w:t>
      </w:r>
      <w:r w:rsidRPr="00417B96">
        <w:rPr>
          <w:rFonts w:eastAsia="Times New Roman" w:cs="Arial"/>
          <w:color w:val="000000" w:themeColor="text1"/>
          <w:spacing w:val="-3"/>
          <w:szCs w:val="24"/>
          <w:lang w:val="es-ES" w:eastAsia="es-ES"/>
        </w:rPr>
        <w:t xml:space="preserve"> E-2021-011979, E-2021-011980 y E-2021-011981</w:t>
      </w:r>
      <w:r w:rsidR="007C499F">
        <w:rPr>
          <w:rFonts w:eastAsia="Times New Roman" w:cs="Arial"/>
          <w:color w:val="000000" w:themeColor="text1"/>
          <w:spacing w:val="-3"/>
          <w:szCs w:val="24"/>
          <w:lang w:val="es-ES" w:eastAsia="es-ES"/>
        </w:rPr>
        <w:t xml:space="preserve">, </w:t>
      </w:r>
      <w:r w:rsidRPr="00417B96">
        <w:rPr>
          <w:rFonts w:eastAsia="Times New Roman" w:cs="Arial"/>
          <w:color w:val="000000" w:themeColor="text1"/>
          <w:spacing w:val="-3"/>
          <w:szCs w:val="24"/>
          <w:lang w:val="es-ES" w:eastAsia="es-ES"/>
        </w:rPr>
        <w:t>TGI</w:t>
      </w:r>
      <w:r w:rsidRPr="00417B96" w:rsidDel="007C499F">
        <w:rPr>
          <w:rFonts w:eastAsia="Times New Roman" w:cs="Arial"/>
          <w:color w:val="000000" w:themeColor="text1"/>
          <w:spacing w:val="-3"/>
          <w:szCs w:val="24"/>
          <w:lang w:val="es-ES" w:eastAsia="es-ES"/>
        </w:rPr>
        <w:t xml:space="preserve"> </w:t>
      </w:r>
      <w:r w:rsidRPr="00417B96">
        <w:rPr>
          <w:rFonts w:eastAsia="Times New Roman" w:cs="Arial"/>
          <w:color w:val="000000" w:themeColor="text1"/>
          <w:spacing w:val="-3"/>
          <w:szCs w:val="24"/>
          <w:lang w:val="es-ES" w:eastAsia="es-ES"/>
        </w:rPr>
        <w:t xml:space="preserve">interpuso </w:t>
      </w:r>
      <w:r w:rsidR="007C499F">
        <w:rPr>
          <w:rFonts w:eastAsia="Times New Roman" w:cs="Arial"/>
          <w:color w:val="000000" w:themeColor="text1"/>
          <w:spacing w:val="-3"/>
          <w:szCs w:val="24"/>
          <w:lang w:val="es-ES" w:eastAsia="es-ES"/>
        </w:rPr>
        <w:t>r</w:t>
      </w:r>
      <w:r w:rsidRPr="00417B96">
        <w:rPr>
          <w:rFonts w:eastAsia="Times New Roman" w:cs="Arial"/>
          <w:color w:val="000000" w:themeColor="text1"/>
          <w:spacing w:val="-3"/>
          <w:szCs w:val="24"/>
          <w:lang w:val="es-ES" w:eastAsia="es-ES"/>
        </w:rPr>
        <w:t>ecurso de reposición (parcial) contra la Resolución CREG 099 de 2021</w:t>
      </w:r>
      <w:r w:rsidR="00141130">
        <w:rPr>
          <w:rFonts w:eastAsia="Times New Roman" w:cs="Arial"/>
          <w:color w:val="000000" w:themeColor="text1"/>
          <w:spacing w:val="-3"/>
          <w:szCs w:val="24"/>
          <w:lang w:val="es-ES" w:eastAsia="es-ES"/>
        </w:rPr>
        <w:t>, resuelto m</w:t>
      </w:r>
      <w:r w:rsidR="000C1AB2" w:rsidRPr="000C1AB2">
        <w:rPr>
          <w:rFonts w:eastAsia="Times New Roman" w:cs="Arial"/>
          <w:color w:val="000000" w:themeColor="text1"/>
          <w:spacing w:val="-3"/>
          <w:szCs w:val="24"/>
          <w:lang w:val="es-ES" w:eastAsia="es-ES"/>
        </w:rPr>
        <w:t xml:space="preserve">ediante la Resolución CREG </w:t>
      </w:r>
      <w:r w:rsidR="00D80C8C">
        <w:rPr>
          <w:rFonts w:eastAsia="Times New Roman" w:cs="Arial"/>
          <w:color w:val="000000" w:themeColor="text1"/>
          <w:spacing w:val="-3"/>
          <w:szCs w:val="24"/>
          <w:lang w:val="es-ES" w:eastAsia="es-ES"/>
        </w:rPr>
        <w:t>231</w:t>
      </w:r>
      <w:r w:rsidR="000C1AB2" w:rsidRPr="000C1AB2">
        <w:rPr>
          <w:rFonts w:eastAsia="Times New Roman" w:cs="Arial"/>
          <w:color w:val="000000" w:themeColor="text1"/>
          <w:spacing w:val="-3"/>
          <w:szCs w:val="24"/>
          <w:lang w:val="es-ES" w:eastAsia="es-ES"/>
        </w:rPr>
        <w:t xml:space="preserve"> de 2021</w:t>
      </w:r>
      <w:r w:rsidR="00F84BCD">
        <w:rPr>
          <w:rFonts w:eastAsia="Times New Roman" w:cs="Arial"/>
          <w:color w:val="000000" w:themeColor="text1"/>
          <w:spacing w:val="-3"/>
          <w:szCs w:val="24"/>
          <w:lang w:val="es-ES" w:eastAsia="es-ES"/>
        </w:rPr>
        <w:t xml:space="preserve">, en la cual </w:t>
      </w:r>
      <w:r w:rsidR="002A7F50">
        <w:rPr>
          <w:rFonts w:eastAsia="Times New Roman" w:cs="Arial"/>
          <w:color w:val="000000" w:themeColor="text1"/>
          <w:spacing w:val="-3"/>
          <w:szCs w:val="24"/>
          <w:lang w:val="es-ES" w:eastAsia="es-ES"/>
        </w:rPr>
        <w:t>se</w:t>
      </w:r>
      <w:r w:rsidR="00E14972">
        <w:rPr>
          <w:rFonts w:eastAsia="Times New Roman" w:cs="Arial"/>
          <w:color w:val="000000" w:themeColor="text1"/>
          <w:spacing w:val="-3"/>
          <w:szCs w:val="24"/>
          <w:lang w:val="es-ES" w:eastAsia="es-ES"/>
        </w:rPr>
        <w:t xml:space="preserve"> </w:t>
      </w:r>
      <w:r w:rsidR="0063235A">
        <w:rPr>
          <w:rFonts w:eastAsia="Times New Roman" w:cs="Arial"/>
          <w:color w:val="000000" w:themeColor="text1"/>
          <w:spacing w:val="-3"/>
          <w:szCs w:val="24"/>
          <w:lang w:val="es-ES" w:eastAsia="es-ES"/>
        </w:rPr>
        <w:t xml:space="preserve">decidió </w:t>
      </w:r>
      <w:r w:rsidR="0063235A" w:rsidRPr="00E14972">
        <w:t>modificar</w:t>
      </w:r>
      <w:r w:rsidR="00E14972" w:rsidRPr="00E14972">
        <w:rPr>
          <w:rFonts w:eastAsia="Times New Roman" w:cs="Arial"/>
          <w:color w:val="000000" w:themeColor="text1"/>
          <w:spacing w:val="-3"/>
          <w:szCs w:val="24"/>
          <w:lang w:val="es-ES" w:eastAsia="es-ES"/>
        </w:rPr>
        <w:t xml:space="preserve"> el contenido del anexo 3 de la </w:t>
      </w:r>
      <w:r w:rsidR="00E14972">
        <w:rPr>
          <w:rFonts w:eastAsia="Times New Roman" w:cs="Arial"/>
          <w:color w:val="000000" w:themeColor="text1"/>
          <w:spacing w:val="-3"/>
          <w:szCs w:val="24"/>
          <w:lang w:val="es-ES" w:eastAsia="es-ES"/>
        </w:rPr>
        <w:t>R</w:t>
      </w:r>
      <w:r w:rsidR="00E14972" w:rsidRPr="00E14972">
        <w:rPr>
          <w:rFonts w:eastAsia="Times New Roman" w:cs="Arial"/>
          <w:color w:val="000000" w:themeColor="text1"/>
          <w:spacing w:val="-3"/>
          <w:szCs w:val="24"/>
          <w:lang w:val="es-ES" w:eastAsia="es-ES"/>
        </w:rPr>
        <w:t xml:space="preserve">esolución CREG 099 </w:t>
      </w:r>
      <w:r w:rsidR="00160277">
        <w:rPr>
          <w:rFonts w:eastAsia="Times New Roman" w:cs="Arial"/>
          <w:color w:val="000000" w:themeColor="text1"/>
          <w:spacing w:val="-3"/>
          <w:szCs w:val="24"/>
          <w:lang w:val="es-ES" w:eastAsia="es-ES"/>
        </w:rPr>
        <w:t>de</w:t>
      </w:r>
      <w:r w:rsidR="00E14972" w:rsidRPr="00E14972">
        <w:rPr>
          <w:rFonts w:eastAsia="Times New Roman" w:cs="Arial"/>
          <w:color w:val="000000" w:themeColor="text1"/>
          <w:spacing w:val="-3"/>
          <w:szCs w:val="24"/>
          <w:lang w:val="es-ES" w:eastAsia="es-ES"/>
        </w:rPr>
        <w:t xml:space="preserve"> 2021</w:t>
      </w:r>
      <w:r w:rsidR="00E14972">
        <w:rPr>
          <w:rFonts w:eastAsia="Times New Roman" w:cs="Arial"/>
          <w:color w:val="000000" w:themeColor="text1"/>
          <w:spacing w:val="-3"/>
          <w:szCs w:val="24"/>
          <w:lang w:val="es-ES" w:eastAsia="es-ES"/>
        </w:rPr>
        <w:t>.</w:t>
      </w:r>
    </w:p>
    <w:p w14:paraId="027A2446" w14:textId="77777777" w:rsidR="00102D94" w:rsidRDefault="00102D94" w:rsidP="00D60139">
      <w:pPr>
        <w:spacing w:after="0"/>
        <w:jc w:val="both"/>
        <w:rPr>
          <w:rFonts w:eastAsia="Times New Roman" w:cs="Arial"/>
          <w:color w:val="000000" w:themeColor="text1"/>
          <w:spacing w:val="-3"/>
          <w:szCs w:val="24"/>
          <w:lang w:val="es-ES" w:eastAsia="es-ES"/>
        </w:rPr>
      </w:pPr>
    </w:p>
    <w:p w14:paraId="3F54C07A" w14:textId="77777777" w:rsidR="001B7657" w:rsidRDefault="001B7657" w:rsidP="001B7657">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Med</w:t>
      </w:r>
      <w:r w:rsidRPr="00DF2A04">
        <w:rPr>
          <w:rFonts w:eastAsia="Times New Roman" w:cs="Arial"/>
          <w:color w:val="000000" w:themeColor="text1"/>
          <w:spacing w:val="-3"/>
          <w:szCs w:val="24"/>
          <w:lang w:val="es-ES" w:eastAsia="es-ES"/>
        </w:rPr>
        <w:t>iante la comunicaci</w:t>
      </w:r>
      <w:r>
        <w:rPr>
          <w:rFonts w:eastAsia="Times New Roman" w:cs="Arial"/>
          <w:color w:val="000000" w:themeColor="text1"/>
          <w:spacing w:val="-3"/>
          <w:szCs w:val="24"/>
          <w:lang w:val="es-ES" w:eastAsia="es-ES"/>
        </w:rPr>
        <w:t>ón</w:t>
      </w:r>
      <w:r w:rsidRPr="00DF2A04">
        <w:rPr>
          <w:rFonts w:eastAsia="Times New Roman" w:cs="Arial"/>
          <w:color w:val="000000" w:themeColor="text1"/>
          <w:spacing w:val="-3"/>
          <w:szCs w:val="24"/>
          <w:lang w:val="es-ES" w:eastAsia="es-ES"/>
        </w:rPr>
        <w:t xml:space="preserve"> con radicado CREG E-2021-0</w:t>
      </w:r>
      <w:r>
        <w:rPr>
          <w:rFonts w:eastAsia="Times New Roman" w:cs="Arial"/>
          <w:color w:val="000000" w:themeColor="text1"/>
          <w:spacing w:val="-3"/>
          <w:szCs w:val="24"/>
          <w:lang w:val="es-ES" w:eastAsia="es-ES"/>
        </w:rPr>
        <w:t>04729, TGI</w:t>
      </w:r>
      <w:r w:rsidRPr="00DF2A04">
        <w:rPr>
          <w:rFonts w:eastAsia="Times New Roman" w:cs="Arial"/>
          <w:color w:val="000000" w:themeColor="text1"/>
          <w:spacing w:val="-3"/>
          <w:szCs w:val="24"/>
          <w:lang w:val="es-ES" w:eastAsia="es-ES"/>
        </w:rPr>
        <w:t xml:space="preserve"> </w:t>
      </w:r>
      <w:r>
        <w:rPr>
          <w:rFonts w:eastAsia="Times New Roman" w:cs="Arial"/>
          <w:color w:val="000000" w:themeColor="text1"/>
          <w:spacing w:val="-3"/>
          <w:szCs w:val="24"/>
          <w:lang w:val="es-ES" w:eastAsia="es-ES"/>
        </w:rPr>
        <w:t>solicitó:</w:t>
      </w:r>
    </w:p>
    <w:p w14:paraId="3168EB14" w14:textId="77777777" w:rsidR="001B7657" w:rsidRDefault="001B7657" w:rsidP="001B7657">
      <w:pPr>
        <w:pStyle w:val="Cita"/>
        <w:rPr>
          <w:rFonts w:eastAsia="Times New Roman"/>
          <w:color w:val="000000" w:themeColor="text1"/>
          <w:spacing w:val="-3"/>
          <w:szCs w:val="24"/>
          <w:lang w:val="es-ES" w:eastAsia="es-ES"/>
        </w:rPr>
      </w:pPr>
    </w:p>
    <w:p w14:paraId="210F212E" w14:textId="77777777" w:rsidR="001B7657" w:rsidRPr="00E4480B" w:rsidRDefault="001B7657" w:rsidP="001B7657">
      <w:pPr>
        <w:pStyle w:val="Cita"/>
        <w:rPr>
          <w:rStyle w:val="CitaCar"/>
        </w:rPr>
      </w:pPr>
      <w:r>
        <w:rPr>
          <w:rFonts w:eastAsia="Times New Roman"/>
          <w:color w:val="000000" w:themeColor="text1"/>
          <w:spacing w:val="-3"/>
          <w:szCs w:val="24"/>
          <w:lang w:val="es-ES" w:eastAsia="es-ES"/>
        </w:rPr>
        <w:lastRenderedPageBreak/>
        <w:t xml:space="preserve"> “</w:t>
      </w:r>
      <w:r w:rsidRPr="00E4480B">
        <w:rPr>
          <w:rStyle w:val="CitaCar"/>
        </w:rPr>
        <w:t xml:space="preserve">Se inicie la actuación administrativa que adelante la modificación por mutuo acuerdo de los cargos existentes para los ramales Florián, Albania, </w:t>
      </w:r>
      <w:proofErr w:type="spellStart"/>
      <w:r w:rsidRPr="00E4480B">
        <w:rPr>
          <w:rStyle w:val="CitaCar"/>
        </w:rPr>
        <w:t>Tunungúa</w:t>
      </w:r>
      <w:proofErr w:type="spellEnd"/>
      <w:r w:rsidRPr="00E4480B">
        <w:rPr>
          <w:rStyle w:val="CitaCar"/>
        </w:rPr>
        <w:t>, Briceño y el tramo remanente de 22” entre la válvula VC 11 B y Sucre Oriental pertenecientes al gasoducto de 22” La Belleza – Cogua, de conformidad con el artículo 126 de la Ley 142 de 1994 y demás normas concordantes.”</w:t>
      </w:r>
    </w:p>
    <w:p w14:paraId="194AAAE4" w14:textId="77777777" w:rsidR="001B7657" w:rsidRDefault="001B7657" w:rsidP="00D60139">
      <w:pPr>
        <w:spacing w:after="0"/>
        <w:jc w:val="both"/>
        <w:rPr>
          <w:rFonts w:eastAsia="Times New Roman" w:cs="Arial"/>
          <w:color w:val="000000" w:themeColor="text1"/>
          <w:spacing w:val="-3"/>
          <w:szCs w:val="24"/>
          <w:lang w:val="es-ES" w:eastAsia="es-ES"/>
        </w:rPr>
      </w:pPr>
    </w:p>
    <w:p w14:paraId="1684354E" w14:textId="38D94C59" w:rsidR="00167621" w:rsidRDefault="006E1121" w:rsidP="003F47CE">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Una vez en firme </w:t>
      </w:r>
      <w:r w:rsidR="009814B1">
        <w:rPr>
          <w:rFonts w:eastAsia="Times New Roman" w:cs="Arial"/>
          <w:color w:val="000000" w:themeColor="text1"/>
          <w:spacing w:val="-3"/>
          <w:szCs w:val="24"/>
          <w:lang w:val="es-ES" w:eastAsia="es-ES"/>
        </w:rPr>
        <w:t>la</w:t>
      </w:r>
      <w:r w:rsidR="007D5805">
        <w:rPr>
          <w:rFonts w:eastAsia="Times New Roman" w:cs="Arial"/>
          <w:color w:val="000000" w:themeColor="text1"/>
          <w:spacing w:val="-3"/>
          <w:szCs w:val="24"/>
          <w:lang w:val="es-ES" w:eastAsia="es-ES"/>
        </w:rPr>
        <w:t>s</w:t>
      </w:r>
      <w:r w:rsidR="009814B1">
        <w:rPr>
          <w:rFonts w:eastAsia="Times New Roman" w:cs="Arial"/>
          <w:color w:val="000000" w:themeColor="text1"/>
          <w:spacing w:val="-3"/>
          <w:szCs w:val="24"/>
          <w:lang w:val="es-ES" w:eastAsia="es-ES"/>
        </w:rPr>
        <w:t xml:space="preserve"> resoluciones sobre las cuales se </w:t>
      </w:r>
      <w:r w:rsidR="00BB6133">
        <w:rPr>
          <w:rFonts w:eastAsia="Times New Roman" w:cs="Arial"/>
          <w:color w:val="000000" w:themeColor="text1"/>
          <w:spacing w:val="-3"/>
          <w:szCs w:val="24"/>
          <w:lang w:val="es-ES" w:eastAsia="es-ES"/>
        </w:rPr>
        <w:t xml:space="preserve">define el valor de los activos </w:t>
      </w:r>
      <w:r w:rsidR="00E52EAA">
        <w:rPr>
          <w:rFonts w:eastAsia="Times New Roman" w:cs="Arial"/>
          <w:color w:val="000000" w:themeColor="text1"/>
          <w:spacing w:val="-3"/>
          <w:szCs w:val="24"/>
          <w:lang w:val="es-ES" w:eastAsia="es-ES"/>
        </w:rPr>
        <w:t>c</w:t>
      </w:r>
      <w:r w:rsidR="003F47CE" w:rsidRPr="003F47CE">
        <w:rPr>
          <w:rFonts w:eastAsia="Times New Roman" w:cs="Arial"/>
          <w:color w:val="000000" w:themeColor="text1"/>
          <w:spacing w:val="-3"/>
          <w:szCs w:val="24"/>
          <w:lang w:val="es-ES" w:eastAsia="es-ES"/>
        </w:rPr>
        <w:t>onforme a lo establecido en el artículo 14 de la Resolución CREG 126 de 2010</w:t>
      </w:r>
      <w:r w:rsidR="007D5805">
        <w:rPr>
          <w:rFonts w:eastAsia="Times New Roman" w:cs="Arial"/>
          <w:color w:val="000000" w:themeColor="text1"/>
          <w:spacing w:val="-3"/>
          <w:szCs w:val="24"/>
          <w:lang w:val="es-ES" w:eastAsia="es-ES"/>
        </w:rPr>
        <w:t xml:space="preserve"> (Resoluciones CREG 099 y 231 de 2021)</w:t>
      </w:r>
      <w:r w:rsidR="00B022EE">
        <w:rPr>
          <w:rFonts w:eastAsia="Times New Roman" w:cs="Arial"/>
          <w:color w:val="000000" w:themeColor="text1"/>
          <w:spacing w:val="-3"/>
          <w:szCs w:val="24"/>
          <w:lang w:val="es-ES" w:eastAsia="es-ES"/>
        </w:rPr>
        <w:t>,</w:t>
      </w:r>
      <w:r w:rsidR="00F24420">
        <w:rPr>
          <w:rFonts w:eastAsia="Times New Roman" w:cs="Arial"/>
          <w:color w:val="000000" w:themeColor="text1"/>
          <w:spacing w:val="-3"/>
          <w:szCs w:val="24"/>
          <w:lang w:val="es-ES" w:eastAsia="es-ES"/>
        </w:rPr>
        <w:t xml:space="preserve"> </w:t>
      </w:r>
      <w:r w:rsidR="00935FA7">
        <w:rPr>
          <w:rFonts w:eastAsia="Times New Roman" w:cs="Arial"/>
          <w:color w:val="000000" w:themeColor="text1"/>
          <w:spacing w:val="-3"/>
          <w:szCs w:val="24"/>
          <w:lang w:val="es-ES" w:eastAsia="es-ES"/>
        </w:rPr>
        <w:t>TGI</w:t>
      </w:r>
      <w:r w:rsidR="00CC644A">
        <w:rPr>
          <w:rFonts w:eastAsia="Times New Roman" w:cs="Arial"/>
          <w:color w:val="000000" w:themeColor="text1"/>
          <w:spacing w:val="-3"/>
          <w:szCs w:val="24"/>
          <w:lang w:val="es-ES" w:eastAsia="es-ES"/>
        </w:rPr>
        <w:t>,</w:t>
      </w:r>
      <w:r w:rsidR="003F47CE" w:rsidRPr="003F47CE">
        <w:rPr>
          <w:rFonts w:eastAsia="Times New Roman" w:cs="Arial"/>
          <w:color w:val="000000" w:themeColor="text1"/>
          <w:spacing w:val="-3"/>
          <w:szCs w:val="24"/>
          <w:lang w:val="es-ES" w:eastAsia="es-ES"/>
        </w:rPr>
        <w:t xml:space="preserve"> mediante la </w:t>
      </w:r>
      <w:r w:rsidR="002A1901" w:rsidRPr="003F47CE">
        <w:rPr>
          <w:rFonts w:eastAsia="Times New Roman" w:cs="Arial"/>
          <w:color w:val="000000" w:themeColor="text1"/>
          <w:spacing w:val="-3"/>
          <w:szCs w:val="24"/>
          <w:lang w:val="es-ES" w:eastAsia="es-ES"/>
        </w:rPr>
        <w:t>comunicación</w:t>
      </w:r>
      <w:r w:rsidR="002A1901">
        <w:rPr>
          <w:rFonts w:eastAsia="Times New Roman" w:cs="Arial"/>
          <w:color w:val="000000" w:themeColor="text1"/>
          <w:spacing w:val="-3"/>
          <w:szCs w:val="24"/>
          <w:lang w:val="es-ES" w:eastAsia="es-ES"/>
        </w:rPr>
        <w:t xml:space="preserve"> </w:t>
      </w:r>
      <w:r w:rsidR="00F24420">
        <w:rPr>
          <w:rFonts w:eastAsia="Times New Roman" w:cs="Arial"/>
          <w:color w:val="000000" w:themeColor="text1"/>
          <w:spacing w:val="-3"/>
          <w:szCs w:val="24"/>
          <w:lang w:val="es-ES" w:eastAsia="es-ES"/>
        </w:rPr>
        <w:t>con radicado</w:t>
      </w:r>
      <w:r w:rsidR="00B022EE">
        <w:rPr>
          <w:rFonts w:eastAsia="Times New Roman" w:cs="Arial"/>
          <w:color w:val="000000" w:themeColor="text1"/>
          <w:spacing w:val="-3"/>
          <w:szCs w:val="24"/>
          <w:lang w:val="es-ES" w:eastAsia="es-ES"/>
        </w:rPr>
        <w:t xml:space="preserve"> CREG</w:t>
      </w:r>
      <w:r w:rsidR="00F24420">
        <w:rPr>
          <w:rFonts w:eastAsia="Times New Roman" w:cs="Arial"/>
          <w:color w:val="000000" w:themeColor="text1"/>
          <w:spacing w:val="-3"/>
          <w:szCs w:val="24"/>
          <w:lang w:val="es-ES" w:eastAsia="es-ES"/>
        </w:rPr>
        <w:t xml:space="preserve"> </w:t>
      </w:r>
      <w:r w:rsidR="00935FA7" w:rsidRPr="00935FA7">
        <w:rPr>
          <w:rFonts w:eastAsia="Times New Roman" w:cs="Arial"/>
          <w:color w:val="000000" w:themeColor="text1"/>
          <w:spacing w:val="-3"/>
          <w:szCs w:val="24"/>
          <w:lang w:val="es-ES" w:eastAsia="es-ES"/>
        </w:rPr>
        <w:t>E-2022-001432</w:t>
      </w:r>
      <w:r w:rsidR="003F47CE" w:rsidRPr="003F47CE">
        <w:rPr>
          <w:rFonts w:eastAsia="Times New Roman" w:cs="Arial"/>
          <w:color w:val="000000" w:themeColor="text1"/>
          <w:spacing w:val="-3"/>
          <w:szCs w:val="24"/>
          <w:lang w:val="es-ES" w:eastAsia="es-ES"/>
        </w:rPr>
        <w:t xml:space="preserve">, </w:t>
      </w:r>
      <w:r w:rsidR="00AC3877">
        <w:rPr>
          <w:rFonts w:eastAsia="Times New Roman" w:cs="Arial"/>
          <w:color w:val="000000" w:themeColor="text1"/>
          <w:spacing w:val="-3"/>
          <w:szCs w:val="24"/>
          <w:lang w:val="es-ES" w:eastAsia="es-ES"/>
        </w:rPr>
        <w:t xml:space="preserve">y en concordancia con el </w:t>
      </w:r>
      <w:r w:rsidR="00B24F20">
        <w:rPr>
          <w:rFonts w:eastAsia="Times New Roman" w:cs="Arial"/>
          <w:color w:val="000000" w:themeColor="text1"/>
          <w:spacing w:val="-3"/>
          <w:szCs w:val="24"/>
          <w:lang w:val="es-ES" w:eastAsia="es-ES"/>
        </w:rPr>
        <w:t>parágrafo 1 del artículo 1 de la Resolución CRE</w:t>
      </w:r>
      <w:r w:rsidR="003772E2">
        <w:rPr>
          <w:rFonts w:eastAsia="Times New Roman" w:cs="Arial"/>
          <w:color w:val="000000" w:themeColor="text1"/>
          <w:spacing w:val="-3"/>
          <w:szCs w:val="24"/>
          <w:lang w:val="es-ES" w:eastAsia="es-ES"/>
        </w:rPr>
        <w:t>G</w:t>
      </w:r>
      <w:r w:rsidR="00B24F20">
        <w:rPr>
          <w:rFonts w:eastAsia="Times New Roman" w:cs="Arial"/>
          <w:color w:val="000000" w:themeColor="text1"/>
          <w:spacing w:val="-3"/>
          <w:szCs w:val="24"/>
          <w:lang w:val="es-ES" w:eastAsia="es-ES"/>
        </w:rPr>
        <w:t xml:space="preserve"> 099 de 2021</w:t>
      </w:r>
      <w:r w:rsidR="00F95D2E">
        <w:rPr>
          <w:rFonts w:eastAsia="Times New Roman" w:cs="Arial"/>
          <w:color w:val="000000" w:themeColor="text1"/>
          <w:spacing w:val="-3"/>
          <w:szCs w:val="24"/>
          <w:lang w:val="es-ES" w:eastAsia="es-ES"/>
        </w:rPr>
        <w:t>,</w:t>
      </w:r>
      <w:r w:rsidR="00B24F20">
        <w:rPr>
          <w:rFonts w:eastAsia="Times New Roman" w:cs="Arial"/>
          <w:color w:val="000000" w:themeColor="text1"/>
          <w:spacing w:val="-3"/>
          <w:szCs w:val="24"/>
          <w:lang w:val="es-ES" w:eastAsia="es-ES"/>
        </w:rPr>
        <w:t xml:space="preserve"> </w:t>
      </w:r>
      <w:r w:rsidR="003F47CE" w:rsidRPr="003F47CE">
        <w:rPr>
          <w:rFonts w:eastAsia="Times New Roman" w:cs="Arial"/>
          <w:color w:val="000000" w:themeColor="text1"/>
          <w:spacing w:val="-3"/>
          <w:szCs w:val="24"/>
          <w:lang w:val="es-ES" w:eastAsia="es-ES"/>
        </w:rPr>
        <w:t xml:space="preserve">declaró a la CREG </w:t>
      </w:r>
      <w:r w:rsidR="00850480">
        <w:rPr>
          <w:rFonts w:eastAsia="Times New Roman" w:cs="Arial"/>
          <w:color w:val="000000" w:themeColor="text1"/>
          <w:spacing w:val="-3"/>
          <w:szCs w:val="24"/>
          <w:lang w:val="es-ES" w:eastAsia="es-ES"/>
        </w:rPr>
        <w:t>su</w:t>
      </w:r>
      <w:r w:rsidR="00935FA7">
        <w:rPr>
          <w:rFonts w:eastAsia="Times New Roman" w:cs="Arial"/>
          <w:color w:val="000000" w:themeColor="text1"/>
          <w:spacing w:val="-3"/>
          <w:szCs w:val="24"/>
          <w:lang w:val="es-ES" w:eastAsia="es-ES"/>
        </w:rPr>
        <w:t xml:space="preserve"> decisión de continuar operando </w:t>
      </w:r>
      <w:r w:rsidR="007F6F9C">
        <w:rPr>
          <w:rFonts w:eastAsia="Times New Roman" w:cs="Arial"/>
          <w:color w:val="000000" w:themeColor="text1"/>
          <w:spacing w:val="-3"/>
          <w:szCs w:val="24"/>
          <w:lang w:val="es-ES" w:eastAsia="es-ES"/>
        </w:rPr>
        <w:t xml:space="preserve">o de reponer </w:t>
      </w:r>
      <w:r w:rsidR="00850480">
        <w:rPr>
          <w:rFonts w:eastAsia="Times New Roman" w:cs="Arial"/>
          <w:color w:val="000000" w:themeColor="text1"/>
          <w:spacing w:val="-3"/>
          <w:szCs w:val="24"/>
          <w:lang w:val="es-ES" w:eastAsia="es-ES"/>
        </w:rPr>
        <w:t>los gasoductos</w:t>
      </w:r>
      <w:r w:rsidR="00CC644A">
        <w:rPr>
          <w:rFonts w:eastAsia="Times New Roman" w:cs="Arial"/>
          <w:color w:val="000000" w:themeColor="text1"/>
          <w:spacing w:val="-3"/>
          <w:szCs w:val="24"/>
          <w:lang w:val="es-ES" w:eastAsia="es-ES"/>
        </w:rPr>
        <w:t>,</w:t>
      </w:r>
      <w:r w:rsidR="00850480">
        <w:rPr>
          <w:rFonts w:eastAsia="Times New Roman" w:cs="Arial"/>
          <w:color w:val="000000" w:themeColor="text1"/>
          <w:spacing w:val="-3"/>
          <w:szCs w:val="24"/>
          <w:lang w:val="es-ES" w:eastAsia="es-ES"/>
        </w:rPr>
        <w:t xml:space="preserve"> tal como se incluye en la siguiente tabla:</w:t>
      </w:r>
      <w:r w:rsidR="00167621">
        <w:rPr>
          <w:rFonts w:eastAsia="Times New Roman" w:cs="Arial"/>
          <w:color w:val="000000" w:themeColor="text1"/>
          <w:spacing w:val="-3"/>
          <w:szCs w:val="24"/>
          <w:lang w:val="es-ES" w:eastAsia="es-ES"/>
        </w:rPr>
        <w:t xml:space="preserve"> </w:t>
      </w:r>
    </w:p>
    <w:p w14:paraId="55315E7D" w14:textId="77777777" w:rsidR="00F95D2E" w:rsidRDefault="00F95D2E" w:rsidP="003F47CE">
      <w:pPr>
        <w:spacing w:after="0"/>
        <w:jc w:val="both"/>
        <w:rPr>
          <w:rFonts w:eastAsia="Times New Roman" w:cs="Arial"/>
          <w:color w:val="000000" w:themeColor="text1"/>
          <w:spacing w:val="-3"/>
          <w:szCs w:val="24"/>
          <w:lang w:val="es-ES" w:eastAsia="es-ES"/>
        </w:rPr>
      </w:pPr>
    </w:p>
    <w:p w14:paraId="3FCDF786" w14:textId="63532A38" w:rsidR="00F95D2E" w:rsidRDefault="00F95D2E" w:rsidP="001A3546">
      <w:pPr>
        <w:spacing w:after="0"/>
        <w:ind w:left="708" w:firstLine="708"/>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w:t>
      </w:r>
    </w:p>
    <w:p w14:paraId="67A4BFF4" w14:textId="507AEA88" w:rsidR="00850480" w:rsidRDefault="00EF2534" w:rsidP="00D94FCB">
      <w:pPr>
        <w:spacing w:after="0"/>
        <w:jc w:val="center"/>
        <w:rPr>
          <w:rFonts w:eastAsia="Times New Roman" w:cs="Arial"/>
          <w:color w:val="000000" w:themeColor="text1"/>
          <w:spacing w:val="-3"/>
          <w:szCs w:val="24"/>
          <w:lang w:val="es-ES" w:eastAsia="es-ES"/>
        </w:rPr>
      </w:pPr>
      <w:r w:rsidRPr="00EF2534">
        <w:rPr>
          <w:rFonts w:eastAsia="Times New Roman" w:cs="Arial"/>
          <w:noProof/>
          <w:color w:val="000000" w:themeColor="text1"/>
          <w:spacing w:val="-3"/>
          <w:szCs w:val="24"/>
          <w:lang w:val="es-ES" w:eastAsia="es-ES"/>
        </w:rPr>
        <w:drawing>
          <wp:inline distT="0" distB="0" distL="0" distR="0" wp14:anchorId="6D7C12BA" wp14:editId="6D35803D">
            <wp:extent cx="3605842" cy="23139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6486" cy="2333632"/>
                    </a:xfrm>
                    <a:prstGeom prst="rect">
                      <a:avLst/>
                    </a:prstGeom>
                  </pic:spPr>
                </pic:pic>
              </a:graphicData>
            </a:graphic>
          </wp:inline>
        </w:drawing>
      </w:r>
    </w:p>
    <w:p w14:paraId="6077DEA0" w14:textId="2A9B5EF2" w:rsidR="004215EC" w:rsidRDefault="00F95D2E" w:rsidP="00102D94">
      <w:pPr>
        <w:spacing w:after="0"/>
        <w:jc w:val="center"/>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lastRenderedPageBreak/>
        <w:t>”</w:t>
      </w:r>
      <w:r w:rsidR="00171476" w:rsidRPr="00171476">
        <w:rPr>
          <w:rFonts w:eastAsia="Times New Roman" w:cs="Arial"/>
          <w:noProof/>
          <w:color w:val="000000" w:themeColor="text1"/>
          <w:spacing w:val="-3"/>
          <w:szCs w:val="24"/>
          <w:lang w:val="es-ES" w:eastAsia="es-ES"/>
        </w:rPr>
        <w:t xml:space="preserve"> </w:t>
      </w:r>
      <w:r w:rsidR="00171476" w:rsidRPr="00BD56B6">
        <w:rPr>
          <w:rFonts w:eastAsia="Times New Roman" w:cs="Arial"/>
          <w:noProof/>
          <w:color w:val="000000" w:themeColor="text1"/>
          <w:spacing w:val="-3"/>
          <w:szCs w:val="24"/>
          <w:lang w:val="es-ES" w:eastAsia="es-ES"/>
        </w:rPr>
        <w:drawing>
          <wp:inline distT="0" distB="0" distL="0" distR="0" wp14:anchorId="424B0360" wp14:editId="52CD574F">
            <wp:extent cx="3709358" cy="4978094"/>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9580" cy="5005232"/>
                    </a:xfrm>
                    <a:prstGeom prst="rect">
                      <a:avLst/>
                    </a:prstGeom>
                  </pic:spPr>
                </pic:pic>
              </a:graphicData>
            </a:graphic>
          </wp:inline>
        </w:drawing>
      </w:r>
    </w:p>
    <w:p w14:paraId="7AF48333" w14:textId="77777777" w:rsidR="003A492B" w:rsidRDefault="003A492B" w:rsidP="003F47CE">
      <w:pPr>
        <w:spacing w:after="0"/>
        <w:jc w:val="both"/>
        <w:rPr>
          <w:rFonts w:eastAsia="Times New Roman" w:cs="Arial"/>
          <w:color w:val="000000" w:themeColor="text1"/>
          <w:spacing w:val="-3"/>
          <w:szCs w:val="24"/>
          <w:lang w:val="es-ES" w:eastAsia="es-ES"/>
        </w:rPr>
      </w:pPr>
    </w:p>
    <w:p w14:paraId="436E6985" w14:textId="66D9718C" w:rsidR="00537C46" w:rsidRDefault="00364DF2" w:rsidP="003F47CE">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De igual forma, </w:t>
      </w:r>
      <w:r w:rsidR="00B33C37">
        <w:rPr>
          <w:rFonts w:eastAsia="Times New Roman" w:cs="Arial"/>
          <w:color w:val="000000" w:themeColor="text1"/>
          <w:spacing w:val="-3"/>
          <w:szCs w:val="24"/>
          <w:lang w:val="es-ES" w:eastAsia="es-ES"/>
        </w:rPr>
        <w:t>TGI comunicó a la Comisión</w:t>
      </w:r>
      <w:r w:rsidR="00CC644A">
        <w:rPr>
          <w:rFonts w:eastAsia="Times New Roman" w:cs="Arial"/>
          <w:color w:val="000000" w:themeColor="text1"/>
          <w:spacing w:val="-3"/>
          <w:szCs w:val="24"/>
          <w:lang w:val="es-ES" w:eastAsia="es-ES"/>
        </w:rPr>
        <w:t>,</w:t>
      </w:r>
      <w:r w:rsidR="00B33C37">
        <w:rPr>
          <w:rFonts w:eastAsia="Times New Roman" w:cs="Arial"/>
          <w:color w:val="000000" w:themeColor="text1"/>
          <w:spacing w:val="-3"/>
          <w:szCs w:val="24"/>
          <w:lang w:val="es-ES" w:eastAsia="es-ES"/>
        </w:rPr>
        <w:t xml:space="preserve"> </w:t>
      </w:r>
      <w:r>
        <w:rPr>
          <w:rFonts w:eastAsia="Times New Roman" w:cs="Arial"/>
          <w:color w:val="000000" w:themeColor="text1"/>
          <w:spacing w:val="-3"/>
          <w:szCs w:val="24"/>
          <w:lang w:val="es-ES" w:eastAsia="es-ES"/>
        </w:rPr>
        <w:t>e</w:t>
      </w:r>
      <w:r w:rsidR="00251E3A">
        <w:rPr>
          <w:rFonts w:eastAsia="Times New Roman" w:cs="Arial"/>
          <w:color w:val="000000" w:themeColor="text1"/>
          <w:spacing w:val="-3"/>
          <w:szCs w:val="24"/>
          <w:lang w:val="es-ES" w:eastAsia="es-ES"/>
        </w:rPr>
        <w:t>n el mismo radicado</w:t>
      </w:r>
      <w:r>
        <w:rPr>
          <w:rFonts w:eastAsia="Times New Roman" w:cs="Arial"/>
          <w:color w:val="000000" w:themeColor="text1"/>
          <w:spacing w:val="-3"/>
          <w:szCs w:val="24"/>
          <w:lang w:val="es-ES" w:eastAsia="es-ES"/>
        </w:rPr>
        <w:t xml:space="preserve"> CREG </w:t>
      </w:r>
      <w:r w:rsidRPr="00935FA7">
        <w:rPr>
          <w:rFonts w:eastAsia="Times New Roman" w:cs="Arial"/>
          <w:color w:val="000000" w:themeColor="text1"/>
          <w:spacing w:val="-3"/>
          <w:szCs w:val="24"/>
          <w:lang w:val="es-ES" w:eastAsia="es-ES"/>
        </w:rPr>
        <w:t>E-2022-001432</w:t>
      </w:r>
      <w:r>
        <w:rPr>
          <w:rFonts w:eastAsia="Times New Roman" w:cs="Arial"/>
          <w:color w:val="000000" w:themeColor="text1"/>
          <w:spacing w:val="-3"/>
          <w:szCs w:val="24"/>
          <w:lang w:val="es-ES" w:eastAsia="es-ES"/>
        </w:rPr>
        <w:t xml:space="preserve">, </w:t>
      </w:r>
      <w:r w:rsidR="00ED7039">
        <w:rPr>
          <w:rFonts w:eastAsia="Times New Roman" w:cs="Arial"/>
          <w:color w:val="000000" w:themeColor="text1"/>
          <w:spacing w:val="-3"/>
          <w:szCs w:val="24"/>
          <w:lang w:val="es-ES" w:eastAsia="es-ES"/>
        </w:rPr>
        <w:t>en concordancia con el parágrafo 1 del art</w:t>
      </w:r>
      <w:r w:rsidR="0016270E">
        <w:rPr>
          <w:rFonts w:eastAsia="Times New Roman" w:cs="Arial"/>
          <w:color w:val="000000" w:themeColor="text1"/>
          <w:spacing w:val="-3"/>
          <w:szCs w:val="24"/>
          <w:lang w:val="es-ES" w:eastAsia="es-ES"/>
        </w:rPr>
        <w:t>í</w:t>
      </w:r>
      <w:r w:rsidR="00ED7039">
        <w:rPr>
          <w:rFonts w:eastAsia="Times New Roman" w:cs="Arial"/>
          <w:color w:val="000000" w:themeColor="text1"/>
          <w:spacing w:val="-3"/>
          <w:szCs w:val="24"/>
          <w:lang w:val="es-ES" w:eastAsia="es-ES"/>
        </w:rPr>
        <w:t>culo 2 de la Resolución CREG 099 de 2021,</w:t>
      </w:r>
      <w:r>
        <w:rPr>
          <w:rFonts w:eastAsia="Times New Roman" w:cs="Arial"/>
          <w:color w:val="000000" w:themeColor="text1"/>
          <w:spacing w:val="-3"/>
          <w:szCs w:val="24"/>
          <w:lang w:val="es-ES" w:eastAsia="es-ES"/>
        </w:rPr>
        <w:t xml:space="preserve"> </w:t>
      </w:r>
      <w:r w:rsidR="0016270E">
        <w:rPr>
          <w:rFonts w:eastAsia="Times New Roman" w:cs="Arial"/>
          <w:color w:val="000000" w:themeColor="text1"/>
          <w:spacing w:val="-3"/>
          <w:szCs w:val="24"/>
          <w:lang w:val="es-ES" w:eastAsia="es-ES"/>
        </w:rPr>
        <w:t>su declaración</w:t>
      </w:r>
      <w:r w:rsidR="00251E3A">
        <w:rPr>
          <w:rFonts w:eastAsia="Times New Roman" w:cs="Arial"/>
          <w:color w:val="000000" w:themeColor="text1"/>
          <w:spacing w:val="-3"/>
          <w:szCs w:val="24"/>
          <w:lang w:val="es-ES" w:eastAsia="es-ES"/>
        </w:rPr>
        <w:t xml:space="preserve"> </w:t>
      </w:r>
      <w:r w:rsidR="006F6931">
        <w:rPr>
          <w:rFonts w:eastAsia="Times New Roman" w:cs="Arial"/>
          <w:color w:val="000000" w:themeColor="text1"/>
          <w:spacing w:val="-3"/>
          <w:szCs w:val="24"/>
          <w:lang w:val="es-ES" w:eastAsia="es-ES"/>
        </w:rPr>
        <w:t>r</w:t>
      </w:r>
      <w:r w:rsidR="00537C46">
        <w:rPr>
          <w:rFonts w:eastAsia="Times New Roman" w:cs="Arial"/>
          <w:color w:val="000000" w:themeColor="text1"/>
          <w:spacing w:val="-3"/>
          <w:szCs w:val="24"/>
          <w:lang w:val="es-ES" w:eastAsia="es-ES"/>
        </w:rPr>
        <w:t>especto a la</w:t>
      </w:r>
      <w:r w:rsidR="00537C46" w:rsidDel="00C42C03">
        <w:rPr>
          <w:rFonts w:eastAsia="Times New Roman" w:cs="Arial"/>
          <w:color w:val="000000" w:themeColor="text1"/>
          <w:spacing w:val="-3"/>
          <w:szCs w:val="24"/>
          <w:lang w:val="es-ES" w:eastAsia="es-ES"/>
        </w:rPr>
        <w:t xml:space="preserve"> </w:t>
      </w:r>
      <w:r w:rsidR="00C42C03">
        <w:rPr>
          <w:rFonts w:eastAsia="Times New Roman" w:cs="Arial"/>
          <w:color w:val="000000" w:themeColor="text1"/>
          <w:spacing w:val="-3"/>
          <w:szCs w:val="24"/>
          <w:lang w:val="es-ES" w:eastAsia="es-ES"/>
        </w:rPr>
        <w:t xml:space="preserve">no reposición de ninguna </w:t>
      </w:r>
      <w:r w:rsidR="00CC644A">
        <w:rPr>
          <w:rFonts w:eastAsia="Times New Roman" w:cs="Arial"/>
          <w:color w:val="000000" w:themeColor="text1"/>
          <w:spacing w:val="-3"/>
          <w:szCs w:val="24"/>
          <w:lang w:val="es-ES" w:eastAsia="es-ES"/>
        </w:rPr>
        <w:t xml:space="preserve">de </w:t>
      </w:r>
      <w:r w:rsidR="00C42C03">
        <w:rPr>
          <w:rFonts w:eastAsia="Times New Roman" w:cs="Arial"/>
          <w:color w:val="000000" w:themeColor="text1"/>
          <w:spacing w:val="-3"/>
          <w:szCs w:val="24"/>
          <w:lang w:val="es-ES" w:eastAsia="es-ES"/>
        </w:rPr>
        <w:t xml:space="preserve">las </w:t>
      </w:r>
      <w:r w:rsidR="00537C46">
        <w:rPr>
          <w:rFonts w:eastAsia="Times New Roman" w:cs="Arial"/>
          <w:color w:val="000000" w:themeColor="text1"/>
          <w:spacing w:val="-3"/>
          <w:szCs w:val="24"/>
          <w:lang w:val="es-ES" w:eastAsia="es-ES"/>
        </w:rPr>
        <w:t>estaciones de compresión</w:t>
      </w:r>
      <w:r w:rsidR="007477CD">
        <w:rPr>
          <w:rFonts w:eastAsia="Times New Roman" w:cs="Arial"/>
          <w:color w:val="000000" w:themeColor="text1"/>
          <w:spacing w:val="-3"/>
          <w:szCs w:val="24"/>
          <w:lang w:val="es-ES" w:eastAsia="es-ES"/>
        </w:rPr>
        <w:t xml:space="preserve">, </w:t>
      </w:r>
      <w:r w:rsidR="00251E3A">
        <w:rPr>
          <w:rFonts w:eastAsia="Times New Roman" w:cs="Arial"/>
          <w:color w:val="000000" w:themeColor="text1"/>
          <w:spacing w:val="-3"/>
          <w:szCs w:val="24"/>
          <w:lang w:val="es-ES" w:eastAsia="es-ES"/>
        </w:rPr>
        <w:t xml:space="preserve">tal como se presenta </w:t>
      </w:r>
      <w:r w:rsidR="00CC644A">
        <w:rPr>
          <w:rFonts w:eastAsia="Times New Roman" w:cs="Arial"/>
          <w:color w:val="000000" w:themeColor="text1"/>
          <w:spacing w:val="-3"/>
          <w:szCs w:val="24"/>
          <w:lang w:val="es-ES" w:eastAsia="es-ES"/>
        </w:rPr>
        <w:t xml:space="preserve">en </w:t>
      </w:r>
      <w:r w:rsidR="00251E3A">
        <w:rPr>
          <w:rFonts w:eastAsia="Times New Roman" w:cs="Arial"/>
          <w:color w:val="000000" w:themeColor="text1"/>
          <w:spacing w:val="-3"/>
          <w:szCs w:val="24"/>
          <w:lang w:val="es-ES" w:eastAsia="es-ES"/>
        </w:rPr>
        <w:t>la siguiente tabla</w:t>
      </w:r>
      <w:r w:rsidR="007477CD">
        <w:rPr>
          <w:rFonts w:eastAsia="Times New Roman" w:cs="Arial"/>
          <w:color w:val="000000" w:themeColor="text1"/>
          <w:spacing w:val="-3"/>
          <w:szCs w:val="24"/>
          <w:lang w:val="es-ES" w:eastAsia="es-ES"/>
        </w:rPr>
        <w:t>:</w:t>
      </w:r>
    </w:p>
    <w:p w14:paraId="1D2F083E" w14:textId="77777777" w:rsidR="00537C46" w:rsidRDefault="00537C46" w:rsidP="003F47CE">
      <w:pPr>
        <w:spacing w:after="0"/>
        <w:jc w:val="both"/>
        <w:rPr>
          <w:rFonts w:eastAsia="Times New Roman" w:cs="Arial"/>
          <w:color w:val="000000" w:themeColor="text1"/>
          <w:spacing w:val="-3"/>
          <w:szCs w:val="24"/>
          <w:lang w:val="es-ES" w:eastAsia="es-ES"/>
        </w:rPr>
      </w:pPr>
    </w:p>
    <w:p w14:paraId="7025D014" w14:textId="5A90EDA4" w:rsidR="007477CD" w:rsidRDefault="007477CD" w:rsidP="003F47CE">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w:t>
      </w:r>
    </w:p>
    <w:p w14:paraId="13765A71" w14:textId="77777777" w:rsidR="00160277" w:rsidRDefault="00251E3A" w:rsidP="00160277">
      <w:pPr>
        <w:spacing w:after="0"/>
        <w:contextualSpacing w:val="0"/>
        <w:rPr>
          <w:rFonts w:ascii="Times New Roman" w:eastAsia="Times New Roman" w:hAnsi="Times New Roman" w:cs="Times New Roman"/>
          <w:szCs w:val="24"/>
          <w:lang w:eastAsia="es-MX"/>
        </w:rPr>
      </w:pPr>
      <w:r w:rsidRPr="00251E3A">
        <w:rPr>
          <w:rFonts w:ascii="Times New Roman" w:eastAsia="Times New Roman" w:hAnsi="Times New Roman" w:cs="Times New Roman"/>
          <w:szCs w:val="24"/>
          <w:lang w:eastAsia="es-MX"/>
        </w:rPr>
        <w:fldChar w:fldCharType="begin"/>
      </w:r>
      <w:r w:rsidR="000B6882">
        <w:rPr>
          <w:rFonts w:ascii="Times New Roman" w:eastAsia="Times New Roman" w:hAnsi="Times New Roman" w:cs="Times New Roman"/>
          <w:szCs w:val="24"/>
          <w:lang w:eastAsia="es-MX"/>
        </w:rPr>
        <w:instrText xml:space="preserve"> INCLUDEPICTURE "https://creggov.sharepoint.com/var/folders/h3/_992qrld1mvc1w19gm5zhmz80000gp/T/com.microsoft.Word/WebArchiveCopyPasteTempFiles/page3image38380480" \* MERGEFORMAT </w:instrText>
      </w:r>
      <w:r w:rsidRPr="00251E3A">
        <w:rPr>
          <w:rFonts w:ascii="Times New Roman" w:eastAsia="Times New Roman" w:hAnsi="Times New Roman" w:cs="Times New Roman"/>
          <w:szCs w:val="24"/>
          <w:lang w:eastAsia="es-MX"/>
        </w:rPr>
        <w:fldChar w:fldCharType="separate"/>
      </w:r>
      <w:r w:rsidRPr="00251E3A">
        <w:rPr>
          <w:rFonts w:ascii="Times New Roman" w:eastAsia="Times New Roman" w:hAnsi="Times New Roman" w:cs="Times New Roman"/>
          <w:noProof/>
          <w:szCs w:val="24"/>
          <w:lang w:eastAsia="es-MX"/>
        </w:rPr>
        <w:drawing>
          <wp:inline distT="0" distB="0" distL="0" distR="0" wp14:anchorId="0041A6A6" wp14:editId="06D708F5">
            <wp:extent cx="5753735" cy="1777365"/>
            <wp:effectExtent l="0" t="0" r="0" b="635"/>
            <wp:docPr id="7" name="Imagen 7" descr="page3image383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38380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1777365"/>
                    </a:xfrm>
                    <a:prstGeom prst="rect">
                      <a:avLst/>
                    </a:prstGeom>
                    <a:noFill/>
                    <a:ln>
                      <a:noFill/>
                    </a:ln>
                  </pic:spPr>
                </pic:pic>
              </a:graphicData>
            </a:graphic>
          </wp:inline>
        </w:drawing>
      </w:r>
      <w:r w:rsidRPr="00251E3A">
        <w:rPr>
          <w:rFonts w:ascii="Times New Roman" w:eastAsia="Times New Roman" w:hAnsi="Times New Roman" w:cs="Times New Roman"/>
          <w:szCs w:val="24"/>
          <w:lang w:eastAsia="es-MX"/>
        </w:rPr>
        <w:fldChar w:fldCharType="end"/>
      </w:r>
      <w:r w:rsidR="00946845">
        <w:rPr>
          <w:rFonts w:ascii="Times New Roman" w:eastAsia="Times New Roman" w:hAnsi="Times New Roman" w:cs="Times New Roman"/>
          <w:szCs w:val="24"/>
          <w:lang w:eastAsia="es-MX"/>
        </w:rPr>
        <w:t>”</w:t>
      </w:r>
    </w:p>
    <w:p w14:paraId="4404E34A" w14:textId="3DC3D337" w:rsidR="00CF4304" w:rsidRPr="00160277" w:rsidRDefault="008C3B63" w:rsidP="2AF9F5A2">
      <w:pPr>
        <w:spacing w:after="0"/>
        <w:jc w:val="both"/>
        <w:rPr>
          <w:rFonts w:ascii="Times New Roman" w:eastAsia="Times New Roman" w:hAnsi="Times New Roman" w:cs="Times New Roman"/>
          <w:lang w:eastAsia="es-MX"/>
        </w:rPr>
      </w:pPr>
      <w:r w:rsidRPr="2AF9F5A2">
        <w:rPr>
          <w:rFonts w:eastAsia="Times New Roman" w:cs="Arial"/>
          <w:color w:val="000000" w:themeColor="text1"/>
          <w:spacing w:val="-3"/>
          <w:lang w:val="es-ES" w:eastAsia="es-ES"/>
        </w:rPr>
        <w:t xml:space="preserve">Mediante </w:t>
      </w:r>
      <w:r w:rsidR="00160277" w:rsidRPr="2AF9F5A2">
        <w:rPr>
          <w:rFonts w:eastAsia="Times New Roman" w:cs="Arial"/>
          <w:color w:val="000000" w:themeColor="text1"/>
          <w:spacing w:val="-3"/>
          <w:lang w:val="es-ES" w:eastAsia="es-ES"/>
        </w:rPr>
        <w:t xml:space="preserve">el </w:t>
      </w:r>
      <w:r w:rsidRPr="2AF9F5A2">
        <w:rPr>
          <w:rFonts w:eastAsia="Times New Roman" w:cs="Arial"/>
          <w:color w:val="000000" w:themeColor="text1"/>
          <w:spacing w:val="-3"/>
          <w:lang w:val="es-ES" w:eastAsia="es-ES"/>
        </w:rPr>
        <w:t xml:space="preserve">Auto </w:t>
      </w:r>
      <w:r w:rsidR="002B495E" w:rsidRPr="2AF9F5A2">
        <w:rPr>
          <w:rFonts w:eastAsia="Times New Roman" w:cs="Arial"/>
          <w:color w:val="000000" w:themeColor="text1"/>
          <w:spacing w:val="-3"/>
          <w:lang w:val="es-ES" w:eastAsia="es-ES"/>
        </w:rPr>
        <w:t>I-2022-</w:t>
      </w:r>
      <w:r w:rsidR="00ED0F18" w:rsidRPr="2AF9F5A2">
        <w:rPr>
          <w:rFonts w:eastAsia="Times New Roman" w:cs="Arial"/>
          <w:color w:val="000000" w:themeColor="text1"/>
          <w:spacing w:val="-3"/>
          <w:lang w:val="es-ES" w:eastAsia="es-ES"/>
        </w:rPr>
        <w:t>006262</w:t>
      </w:r>
      <w:r w:rsidRPr="2AF9F5A2">
        <w:rPr>
          <w:rFonts w:eastAsia="Times New Roman" w:cs="Arial"/>
          <w:color w:val="000000" w:themeColor="text1"/>
          <w:spacing w:val="-3"/>
          <w:lang w:val="es-ES" w:eastAsia="es-ES"/>
        </w:rPr>
        <w:t xml:space="preserve"> del </w:t>
      </w:r>
      <w:r w:rsidR="00346F77" w:rsidRPr="2AF9F5A2">
        <w:rPr>
          <w:rFonts w:eastAsia="Times New Roman" w:cs="Arial"/>
          <w:color w:val="000000" w:themeColor="text1"/>
          <w:spacing w:val="-3"/>
          <w:lang w:val="es-ES" w:eastAsia="es-ES"/>
        </w:rPr>
        <w:t xml:space="preserve">1 de </w:t>
      </w:r>
      <w:r w:rsidR="00BB697D" w:rsidRPr="2AF9F5A2">
        <w:rPr>
          <w:rFonts w:eastAsia="Times New Roman" w:cs="Arial"/>
          <w:color w:val="000000" w:themeColor="text1"/>
          <w:spacing w:val="-3"/>
          <w:lang w:val="es-ES" w:eastAsia="es-ES"/>
        </w:rPr>
        <w:t xml:space="preserve">junio </w:t>
      </w:r>
      <w:r w:rsidR="00CC644A" w:rsidRPr="2AF9F5A2">
        <w:rPr>
          <w:rFonts w:eastAsia="Times New Roman" w:cs="Arial"/>
          <w:color w:val="000000" w:themeColor="text1"/>
          <w:spacing w:val="-3"/>
          <w:lang w:val="es-ES" w:eastAsia="es-ES"/>
        </w:rPr>
        <w:t xml:space="preserve">de </w:t>
      </w:r>
      <w:r w:rsidR="00BB697D" w:rsidRPr="2AF9F5A2">
        <w:rPr>
          <w:rFonts w:eastAsia="Times New Roman" w:cs="Arial"/>
          <w:color w:val="000000" w:themeColor="text1"/>
          <w:spacing w:val="-3"/>
          <w:lang w:val="es-ES" w:eastAsia="es-ES"/>
        </w:rPr>
        <w:t xml:space="preserve">2022, </w:t>
      </w:r>
      <w:r w:rsidRPr="2AF9F5A2">
        <w:rPr>
          <w:rFonts w:eastAsia="Times New Roman" w:cs="Arial"/>
          <w:color w:val="000000" w:themeColor="text1"/>
          <w:spacing w:val="-3"/>
          <w:lang w:val="es-ES" w:eastAsia="es-ES"/>
        </w:rPr>
        <w:t>la Comisi</w:t>
      </w:r>
      <w:r w:rsidR="00D41A5D" w:rsidRPr="2AF9F5A2">
        <w:rPr>
          <w:rFonts w:eastAsia="Times New Roman" w:cs="Arial"/>
          <w:color w:val="000000" w:themeColor="text1"/>
          <w:spacing w:val="-3"/>
          <w:lang w:val="es-ES" w:eastAsia="es-ES"/>
        </w:rPr>
        <w:t>ón decidió abrir una actuación administrativa con el objeto de ajustar los cargos del sistema de TGI</w:t>
      </w:r>
      <w:r w:rsidR="005C4D2D" w:rsidRPr="2AF9F5A2">
        <w:rPr>
          <w:rFonts w:eastAsia="Times New Roman" w:cs="Arial"/>
          <w:color w:val="000000" w:themeColor="text1"/>
          <w:spacing w:val="-3"/>
          <w:lang w:val="es-ES" w:eastAsia="es-ES"/>
        </w:rPr>
        <w:t xml:space="preserve">, teniendo en cuenta </w:t>
      </w:r>
      <w:r w:rsidR="00B8179F" w:rsidRPr="2AF9F5A2">
        <w:rPr>
          <w:rFonts w:eastAsia="Times New Roman" w:cs="Arial"/>
          <w:color w:val="000000" w:themeColor="text1"/>
          <w:spacing w:val="-3"/>
          <w:lang w:val="es-ES" w:eastAsia="es-ES"/>
        </w:rPr>
        <w:t xml:space="preserve">i) </w:t>
      </w:r>
      <w:r w:rsidR="005C4D2D" w:rsidRPr="2AF9F5A2">
        <w:rPr>
          <w:rFonts w:eastAsia="Times New Roman" w:cs="Arial"/>
          <w:color w:val="000000" w:themeColor="text1"/>
          <w:spacing w:val="-3"/>
          <w:lang w:val="es-ES" w:eastAsia="es-ES"/>
        </w:rPr>
        <w:t xml:space="preserve">las valoraciones de los activos VAO y VRAN </w:t>
      </w:r>
      <w:r w:rsidR="00217197" w:rsidRPr="2AF9F5A2">
        <w:rPr>
          <w:rFonts w:eastAsia="Times New Roman" w:cs="Arial"/>
          <w:color w:val="000000" w:themeColor="text1"/>
          <w:spacing w:val="-3"/>
          <w:lang w:val="es-ES" w:eastAsia="es-ES"/>
        </w:rPr>
        <w:t>definidos en las Resoluciones CREG 099 de 2021 y 2</w:t>
      </w:r>
      <w:r w:rsidR="00B8179F" w:rsidRPr="2AF9F5A2">
        <w:rPr>
          <w:rFonts w:eastAsia="Times New Roman" w:cs="Arial"/>
          <w:color w:val="000000" w:themeColor="text1"/>
          <w:spacing w:val="-3"/>
          <w:lang w:val="es-ES" w:eastAsia="es-ES"/>
        </w:rPr>
        <w:t>31 de 2021</w:t>
      </w:r>
      <w:r w:rsidR="00CC644A" w:rsidRPr="2AF9F5A2">
        <w:rPr>
          <w:rFonts w:eastAsia="Times New Roman" w:cs="Arial"/>
          <w:color w:val="000000" w:themeColor="text1"/>
          <w:spacing w:val="-3"/>
          <w:lang w:val="es-ES" w:eastAsia="es-ES"/>
        </w:rPr>
        <w:t>;</w:t>
      </w:r>
      <w:r w:rsidR="00B8179F" w:rsidRPr="2AF9F5A2">
        <w:rPr>
          <w:rFonts w:eastAsia="Times New Roman" w:cs="Arial"/>
          <w:color w:val="000000" w:themeColor="text1"/>
          <w:spacing w:val="-3"/>
          <w:lang w:val="es-ES" w:eastAsia="es-ES"/>
        </w:rPr>
        <w:t xml:space="preserve"> y</w:t>
      </w:r>
      <w:r w:rsidR="00CC644A" w:rsidRPr="2AF9F5A2">
        <w:rPr>
          <w:rFonts w:eastAsia="Times New Roman" w:cs="Arial"/>
          <w:color w:val="000000" w:themeColor="text1"/>
          <w:spacing w:val="-3"/>
          <w:lang w:val="es-ES" w:eastAsia="es-ES"/>
        </w:rPr>
        <w:t>,</w:t>
      </w:r>
      <w:r w:rsidR="00B8179F" w:rsidRPr="2AF9F5A2">
        <w:rPr>
          <w:rFonts w:eastAsia="Times New Roman" w:cs="Arial"/>
          <w:color w:val="000000" w:themeColor="text1"/>
          <w:spacing w:val="-3"/>
          <w:lang w:val="es-ES" w:eastAsia="es-ES"/>
        </w:rPr>
        <w:t xml:space="preserve"> </w:t>
      </w:r>
      <w:proofErr w:type="spellStart"/>
      <w:r w:rsidR="00B8179F" w:rsidRPr="2AF9F5A2">
        <w:rPr>
          <w:rFonts w:eastAsia="Times New Roman" w:cs="Arial"/>
          <w:color w:val="000000" w:themeColor="text1"/>
          <w:spacing w:val="-3"/>
          <w:lang w:val="es-ES" w:eastAsia="es-ES"/>
        </w:rPr>
        <w:t>ii</w:t>
      </w:r>
      <w:proofErr w:type="spellEnd"/>
      <w:r w:rsidR="00B8179F" w:rsidRPr="2AF9F5A2">
        <w:rPr>
          <w:rFonts w:eastAsia="Times New Roman" w:cs="Arial"/>
          <w:color w:val="000000" w:themeColor="text1"/>
          <w:spacing w:val="-3"/>
          <w:lang w:val="es-ES" w:eastAsia="es-ES"/>
        </w:rPr>
        <w:t>) las declaraciones hechas por TGI</w:t>
      </w:r>
      <w:r w:rsidR="007C3FD3" w:rsidRPr="2AF9F5A2">
        <w:rPr>
          <w:rFonts w:eastAsia="Times New Roman" w:cs="Arial"/>
          <w:color w:val="000000" w:themeColor="text1"/>
          <w:spacing w:val="-3"/>
          <w:lang w:val="es-ES" w:eastAsia="es-ES"/>
        </w:rPr>
        <w:t xml:space="preserve"> respecto a su decisión de reponer o no sus activos. </w:t>
      </w:r>
      <w:r w:rsidR="00AE2C9C" w:rsidRPr="2AF9F5A2">
        <w:rPr>
          <w:rFonts w:eastAsia="Times New Roman" w:cs="Arial"/>
          <w:color w:val="000000" w:themeColor="text1"/>
          <w:spacing w:val="-3"/>
          <w:lang w:val="es-ES" w:eastAsia="es-ES"/>
        </w:rPr>
        <w:t xml:space="preserve">Esta actuación se </w:t>
      </w:r>
      <w:r w:rsidR="00AE2C9C" w:rsidRPr="2AF9F5A2">
        <w:rPr>
          <w:rFonts w:eastAsia="Times New Roman" w:cs="Arial"/>
          <w:color w:val="000000" w:themeColor="text1"/>
          <w:spacing w:val="-3"/>
          <w:lang w:val="es-ES" w:eastAsia="es-ES"/>
        </w:rPr>
        <w:lastRenderedPageBreak/>
        <w:t>adelanta en el marco de una actuación particular</w:t>
      </w:r>
      <w:r w:rsidR="00160277" w:rsidRPr="2AF9F5A2">
        <w:rPr>
          <w:rFonts w:eastAsia="Times New Roman" w:cs="Arial"/>
          <w:color w:val="000000" w:themeColor="text1"/>
          <w:spacing w:val="-3"/>
          <w:lang w:val="es-ES" w:eastAsia="es-ES"/>
        </w:rPr>
        <w:t>,</w:t>
      </w:r>
      <w:r w:rsidR="00AE2C9C" w:rsidRPr="2AF9F5A2">
        <w:rPr>
          <w:rFonts w:eastAsia="Times New Roman" w:cs="Arial"/>
          <w:color w:val="000000" w:themeColor="text1"/>
          <w:spacing w:val="-3"/>
          <w:lang w:val="es-ES" w:eastAsia="es-ES"/>
        </w:rPr>
        <w:t xml:space="preserve"> la cual consta en el expediente administrativo </w:t>
      </w:r>
      <w:r w:rsidR="00AC294B" w:rsidRPr="2AF9F5A2">
        <w:rPr>
          <w:rFonts w:eastAsia="Times New Roman" w:cs="Arial"/>
          <w:color w:val="000000" w:themeColor="text1"/>
          <w:spacing w:val="-3"/>
          <w:lang w:val="es-ES" w:eastAsia="es-ES"/>
        </w:rPr>
        <w:t>2022-044</w:t>
      </w:r>
      <w:r w:rsidR="00AE2C9C" w:rsidRPr="2AF9F5A2">
        <w:rPr>
          <w:rFonts w:eastAsia="Times New Roman" w:cs="Arial"/>
          <w:color w:val="000000" w:themeColor="text1"/>
          <w:spacing w:val="-3"/>
          <w:lang w:val="es-ES" w:eastAsia="es-ES"/>
        </w:rPr>
        <w:t xml:space="preserve">. </w:t>
      </w:r>
    </w:p>
    <w:p w14:paraId="73D84B8B" w14:textId="2FBBFC34" w:rsidR="00CF4304" w:rsidRPr="00160277" w:rsidRDefault="00CF4304" w:rsidP="2AF9F5A2">
      <w:pPr>
        <w:spacing w:after="0"/>
        <w:jc w:val="both"/>
        <w:rPr>
          <w:rFonts w:eastAsia="Times New Roman" w:cs="Arial"/>
          <w:color w:val="000000" w:themeColor="text1"/>
          <w:highlight w:val="yellow"/>
          <w:lang w:val="es-ES" w:eastAsia="es-ES"/>
        </w:rPr>
      </w:pPr>
    </w:p>
    <w:p w14:paraId="277ED1F0" w14:textId="7D7F0F51" w:rsidR="00FB37A0" w:rsidRDefault="00A31504" w:rsidP="004D371C">
      <w:pPr>
        <w:spacing w:after="0"/>
        <w:jc w:val="both"/>
        <w:rPr>
          <w:rFonts w:eastAsia="Times New Roman" w:cs="Arial"/>
          <w:color w:val="000000" w:themeColor="text1"/>
          <w:lang w:val="es-ES" w:eastAsia="es-ES"/>
        </w:rPr>
      </w:pPr>
      <w:r w:rsidRPr="009E18C2">
        <w:rPr>
          <w:rFonts w:eastAsia="Times New Roman" w:cs="Arial"/>
          <w:color w:val="000000" w:themeColor="text1"/>
          <w:spacing w:val="-3"/>
          <w:lang w:val="es-ES" w:eastAsia="es-ES"/>
        </w:rPr>
        <w:t xml:space="preserve">En </w:t>
      </w:r>
      <w:r w:rsidR="008D68B9">
        <w:rPr>
          <w:rFonts w:eastAsia="Times New Roman" w:cs="Arial"/>
          <w:color w:val="000000" w:themeColor="text1"/>
          <w:spacing w:val="-3"/>
          <w:lang w:val="es-ES" w:eastAsia="es-ES"/>
        </w:rPr>
        <w:t>el</w:t>
      </w:r>
      <w:r>
        <w:rPr>
          <w:rFonts w:eastAsia="Times New Roman" w:cs="Arial"/>
          <w:color w:val="000000" w:themeColor="text1"/>
          <w:spacing w:val="-3"/>
          <w:lang w:val="es-ES" w:eastAsia="es-ES"/>
        </w:rPr>
        <w:t xml:space="preserve"> </w:t>
      </w:r>
      <w:r w:rsidR="3A700CE9" w:rsidRPr="2AF9F5A2">
        <w:rPr>
          <w:rFonts w:eastAsia="Times New Roman" w:cs="Arial"/>
          <w:color w:val="000000" w:themeColor="text1"/>
          <w:lang w:val="es-ES" w:eastAsia="es-ES"/>
        </w:rPr>
        <w:t>Auto I-2022-006262 del 1 de junio de 2022</w:t>
      </w:r>
      <w:r w:rsidRPr="00FA21FA">
        <w:rPr>
          <w:rFonts w:eastAsia="Times New Roman" w:cs="Arial"/>
          <w:color w:val="000000" w:themeColor="text1"/>
          <w:spacing w:val="-3"/>
          <w:lang w:val="es-ES" w:eastAsia="es-ES"/>
        </w:rPr>
        <w:t xml:space="preserve"> </w:t>
      </w:r>
      <w:r w:rsidRPr="009E18C2">
        <w:rPr>
          <w:rFonts w:eastAsia="Times New Roman" w:cs="Arial"/>
          <w:color w:val="000000" w:themeColor="text1"/>
          <w:spacing w:val="-3"/>
          <w:lang w:val="es-ES" w:eastAsia="es-ES"/>
        </w:rPr>
        <w:t xml:space="preserve"> se reconoce </w:t>
      </w:r>
      <w:r w:rsidR="00FB2F5F" w:rsidRPr="009E18C2">
        <w:rPr>
          <w:rFonts w:eastAsia="Times New Roman" w:cs="Arial"/>
          <w:color w:val="000000" w:themeColor="text1"/>
          <w:spacing w:val="-3"/>
          <w:lang w:val="es-ES" w:eastAsia="es-ES"/>
        </w:rPr>
        <w:t>a la empres</w:t>
      </w:r>
      <w:r w:rsidR="00461556" w:rsidRPr="009E18C2">
        <w:rPr>
          <w:rFonts w:eastAsia="Times New Roman" w:cs="Arial"/>
          <w:color w:val="000000" w:themeColor="text1"/>
          <w:spacing w:val="-3"/>
          <w:lang w:val="es-ES" w:eastAsia="es-ES"/>
        </w:rPr>
        <w:t>a</w:t>
      </w:r>
      <w:r w:rsidR="00FB2F5F" w:rsidRPr="009E18C2">
        <w:rPr>
          <w:rFonts w:eastAsia="Times New Roman" w:cs="Arial"/>
          <w:color w:val="000000" w:themeColor="text1"/>
          <w:spacing w:val="-3"/>
          <w:lang w:val="es-ES" w:eastAsia="es-ES"/>
        </w:rPr>
        <w:t xml:space="preserve"> </w:t>
      </w:r>
      <w:proofErr w:type="spellStart"/>
      <w:r w:rsidR="00FB2F5F" w:rsidRPr="009E18C2">
        <w:rPr>
          <w:rFonts w:eastAsia="Times New Roman" w:cs="Arial"/>
          <w:color w:val="000000" w:themeColor="text1"/>
          <w:spacing w:val="-3"/>
          <w:lang w:val="es-ES" w:eastAsia="es-ES"/>
        </w:rPr>
        <w:t>Vanti</w:t>
      </w:r>
      <w:proofErr w:type="spellEnd"/>
      <w:r w:rsidR="00FB2F5F" w:rsidRPr="009E18C2">
        <w:rPr>
          <w:rFonts w:eastAsia="Times New Roman" w:cs="Arial"/>
          <w:color w:val="000000" w:themeColor="text1"/>
          <w:spacing w:val="-3"/>
          <w:lang w:val="es-ES" w:eastAsia="es-ES"/>
        </w:rPr>
        <w:t xml:space="preserve"> S.A. E.S.P.</w:t>
      </w:r>
      <w:r w:rsidR="00FC3FE7" w:rsidRPr="009E18C2">
        <w:rPr>
          <w:rFonts w:eastAsia="Times New Roman" w:cs="Arial"/>
          <w:color w:val="000000" w:themeColor="text1"/>
          <w:spacing w:val="-3"/>
          <w:lang w:val="es-ES" w:eastAsia="es-ES"/>
        </w:rPr>
        <w:t xml:space="preserve"> (en adelante </w:t>
      </w:r>
      <w:proofErr w:type="spellStart"/>
      <w:r w:rsidR="00FC3FE7" w:rsidRPr="009E18C2">
        <w:rPr>
          <w:rFonts w:eastAsia="Times New Roman" w:cs="Arial"/>
          <w:color w:val="000000" w:themeColor="text1"/>
          <w:spacing w:val="-3"/>
          <w:lang w:val="es-ES" w:eastAsia="es-ES"/>
        </w:rPr>
        <w:t>Vanti</w:t>
      </w:r>
      <w:proofErr w:type="spellEnd"/>
      <w:r w:rsidR="00FC3FE7" w:rsidRPr="009E18C2">
        <w:rPr>
          <w:rFonts w:eastAsia="Times New Roman" w:cs="Arial"/>
          <w:color w:val="000000" w:themeColor="text1"/>
          <w:spacing w:val="-3"/>
          <w:lang w:val="es-ES" w:eastAsia="es-ES"/>
        </w:rPr>
        <w:t>)</w:t>
      </w:r>
      <w:r w:rsidR="00FB2F5F" w:rsidRPr="00E446F4">
        <w:rPr>
          <w:rFonts w:eastAsia="Times New Roman" w:cs="Arial"/>
          <w:color w:val="000000" w:themeColor="text1"/>
          <w:spacing w:val="-3"/>
          <w:lang w:val="es-ES" w:eastAsia="es-ES"/>
        </w:rPr>
        <w:t xml:space="preserve"> como tercera interesada dentro de la actuación</w:t>
      </w:r>
      <w:r w:rsidR="006553C2" w:rsidRPr="00FA21FA">
        <w:rPr>
          <w:rFonts w:eastAsia="Times New Roman" w:cs="Arial"/>
          <w:color w:val="000000" w:themeColor="text1"/>
          <w:lang w:val="es-ES" w:eastAsia="es-ES"/>
        </w:rPr>
        <w:t>,</w:t>
      </w:r>
      <w:r w:rsidR="005E116E" w:rsidRPr="00FA21FA">
        <w:rPr>
          <w:rFonts w:eastAsia="Times New Roman" w:cs="Arial"/>
          <w:color w:val="000000" w:themeColor="text1"/>
          <w:lang w:val="es-ES" w:eastAsia="es-ES"/>
        </w:rPr>
        <w:t xml:space="preserve"> con fundamento en la </w:t>
      </w:r>
      <w:r w:rsidR="001633D9" w:rsidRPr="00FA21FA">
        <w:rPr>
          <w:rFonts w:eastAsia="Times New Roman" w:cs="Arial"/>
          <w:color w:val="000000" w:themeColor="text1"/>
          <w:lang w:val="es-ES" w:eastAsia="es-ES"/>
        </w:rPr>
        <w:t>justificación que present</w:t>
      </w:r>
      <w:r w:rsidR="001945DE">
        <w:rPr>
          <w:rFonts w:eastAsia="Times New Roman" w:cs="Arial"/>
          <w:color w:val="000000" w:themeColor="text1"/>
          <w:lang w:val="es-ES" w:eastAsia="es-ES"/>
        </w:rPr>
        <w:t>ó</w:t>
      </w:r>
      <w:r w:rsidR="001633D9" w:rsidRPr="00FA21FA">
        <w:rPr>
          <w:rFonts w:eastAsia="Times New Roman" w:cs="Arial"/>
          <w:color w:val="000000" w:themeColor="text1"/>
          <w:lang w:val="es-ES" w:eastAsia="es-ES"/>
        </w:rPr>
        <w:t xml:space="preserve"> </w:t>
      </w:r>
      <w:r w:rsidR="006228E2" w:rsidRPr="00FA21FA">
        <w:rPr>
          <w:rFonts w:eastAsia="Times New Roman" w:cs="Arial"/>
          <w:color w:val="000000" w:themeColor="text1"/>
          <w:lang w:val="es-ES" w:eastAsia="es-ES"/>
        </w:rPr>
        <w:t xml:space="preserve">esta empresa en </w:t>
      </w:r>
      <w:r w:rsidR="003D4EEF" w:rsidRPr="00FA21FA">
        <w:rPr>
          <w:rFonts w:eastAsia="Times New Roman" w:cs="Arial"/>
          <w:color w:val="000000" w:themeColor="text1"/>
          <w:lang w:val="es-ES" w:eastAsia="es-ES"/>
        </w:rPr>
        <w:t xml:space="preserve">la solicitud </w:t>
      </w:r>
      <w:r w:rsidR="00B00358" w:rsidRPr="00FA21FA">
        <w:rPr>
          <w:rFonts w:eastAsia="Times New Roman" w:cs="Arial"/>
          <w:color w:val="000000" w:themeColor="text1"/>
          <w:lang w:val="es-ES" w:eastAsia="es-ES"/>
        </w:rPr>
        <w:t xml:space="preserve">con radicado </w:t>
      </w:r>
      <w:r w:rsidR="008841E3" w:rsidRPr="00FA21FA">
        <w:rPr>
          <w:rFonts w:eastAsia="Times New Roman" w:cs="Arial"/>
          <w:color w:val="000000" w:themeColor="text1"/>
          <w:lang w:val="es-ES" w:eastAsia="es-ES"/>
        </w:rPr>
        <w:t>CREG E-2022-00</w:t>
      </w:r>
      <w:r w:rsidR="00674B2D" w:rsidRPr="00FA21FA">
        <w:rPr>
          <w:rFonts w:eastAsia="Times New Roman" w:cs="Arial"/>
          <w:color w:val="000000" w:themeColor="text1"/>
          <w:lang w:val="es-ES" w:eastAsia="es-ES"/>
        </w:rPr>
        <w:t xml:space="preserve">1562 del </w:t>
      </w:r>
      <w:r w:rsidR="001945DE">
        <w:rPr>
          <w:rFonts w:eastAsia="Times New Roman" w:cs="Arial"/>
          <w:color w:val="000000" w:themeColor="text1"/>
          <w:lang w:val="es-ES" w:eastAsia="es-ES"/>
        </w:rPr>
        <w:t>8</w:t>
      </w:r>
      <w:r w:rsidR="00674B2D" w:rsidRPr="00FA21FA">
        <w:rPr>
          <w:rFonts w:eastAsia="Times New Roman" w:cs="Arial"/>
          <w:color w:val="000000" w:themeColor="text1"/>
          <w:lang w:val="es-ES" w:eastAsia="es-ES"/>
        </w:rPr>
        <w:t xml:space="preserve"> de febrero </w:t>
      </w:r>
      <w:r w:rsidR="001945DE">
        <w:rPr>
          <w:rFonts w:eastAsia="Times New Roman" w:cs="Arial"/>
          <w:color w:val="000000" w:themeColor="text1"/>
          <w:lang w:val="es-ES" w:eastAsia="es-ES"/>
        </w:rPr>
        <w:t>de 2022</w:t>
      </w:r>
      <w:r w:rsidR="000E2F33" w:rsidRPr="00FA21FA">
        <w:rPr>
          <w:rFonts w:eastAsia="Times New Roman" w:cs="Arial"/>
          <w:color w:val="000000" w:themeColor="text1"/>
          <w:lang w:val="es-ES" w:eastAsia="es-ES"/>
        </w:rPr>
        <w:t xml:space="preserve">, en la cual </w:t>
      </w:r>
      <w:r w:rsidR="00D50B44" w:rsidRPr="00FA21FA">
        <w:rPr>
          <w:rFonts w:eastAsia="Times New Roman" w:cs="Arial"/>
          <w:color w:val="000000" w:themeColor="text1"/>
          <w:lang w:val="es-ES" w:eastAsia="es-ES"/>
        </w:rPr>
        <w:t xml:space="preserve">el representante legal </w:t>
      </w:r>
      <w:r w:rsidR="000E2F33" w:rsidRPr="00FA21FA">
        <w:rPr>
          <w:rFonts w:eastAsia="Times New Roman" w:cs="Arial"/>
          <w:color w:val="000000" w:themeColor="text1"/>
          <w:lang w:val="es-ES" w:eastAsia="es-ES"/>
        </w:rPr>
        <w:t xml:space="preserve">manifiesta  que </w:t>
      </w:r>
      <w:r w:rsidR="001945DE">
        <w:rPr>
          <w:rFonts w:eastAsia="Times New Roman" w:cs="Arial"/>
          <w:color w:val="000000" w:themeColor="text1"/>
          <w:lang w:val="es-ES" w:eastAsia="es-ES"/>
        </w:rPr>
        <w:t>“</w:t>
      </w:r>
      <w:r w:rsidR="00D50B44" w:rsidRPr="00D50B44">
        <w:rPr>
          <w:rFonts w:eastAsia="Times New Roman" w:cs="Arial"/>
          <w:color w:val="000000" w:themeColor="text1"/>
          <w:lang w:val="es-ES" w:eastAsia="es-ES"/>
        </w:rPr>
        <w:t>La sociedad que represento cuenta con interés legítimo de participar</w:t>
      </w:r>
      <w:r w:rsidR="002F0EDE" w:rsidRPr="2AF9F5A2">
        <w:rPr>
          <w:rFonts w:eastAsia="Times New Roman" w:cs="Arial"/>
          <w:color w:val="000000" w:themeColor="text1"/>
          <w:lang w:val="es-ES" w:eastAsia="es-ES"/>
        </w:rPr>
        <w:t xml:space="preserve"> en el </w:t>
      </w:r>
      <w:r w:rsidR="00D50B44" w:rsidRPr="00D50B44">
        <w:rPr>
          <w:rFonts w:eastAsia="Times New Roman" w:cs="Arial"/>
          <w:color w:val="000000" w:themeColor="text1"/>
          <w:lang w:val="es-ES" w:eastAsia="es-ES"/>
        </w:rPr>
        <w:t xml:space="preserve">trámite de recurso de reposición interpuesto, ya </w:t>
      </w:r>
      <w:r w:rsidR="002F0EDE" w:rsidRPr="2AF9F5A2">
        <w:rPr>
          <w:rFonts w:eastAsia="Times New Roman" w:cs="Arial"/>
          <w:color w:val="000000" w:themeColor="text1"/>
          <w:lang w:val="es-ES" w:eastAsia="es-ES"/>
        </w:rPr>
        <w:t xml:space="preserve">que </w:t>
      </w:r>
      <w:r w:rsidR="00D50B44" w:rsidRPr="00D50B44">
        <w:rPr>
          <w:rFonts w:eastAsia="Times New Roman" w:cs="Arial"/>
          <w:color w:val="000000" w:themeColor="text1"/>
          <w:lang w:val="es-ES" w:eastAsia="es-ES"/>
        </w:rPr>
        <w:t xml:space="preserve">la actuación administrativa adelantada puede generar un impacto a </w:t>
      </w:r>
      <w:r w:rsidR="00433F76" w:rsidRPr="2AF9F5A2">
        <w:rPr>
          <w:rFonts w:eastAsia="Times New Roman" w:cs="Arial"/>
          <w:color w:val="000000" w:themeColor="text1"/>
          <w:lang w:val="es-ES" w:eastAsia="es-ES"/>
        </w:rPr>
        <w:t xml:space="preserve">sus intereses </w:t>
      </w:r>
      <w:r w:rsidR="00D50B44" w:rsidRPr="00D50B44">
        <w:rPr>
          <w:rFonts w:eastAsia="Times New Roman" w:cs="Arial"/>
          <w:color w:val="000000" w:themeColor="text1"/>
          <w:lang w:val="es-ES" w:eastAsia="es-ES"/>
        </w:rPr>
        <w:t>en tanto agentes remitentes, lo que además afectará de manera significativa a los usuarios regulados, no regulados, actuales y potenciales de las compañías, efectos que impactarán negativamente</w:t>
      </w:r>
      <w:r w:rsidR="00763E58" w:rsidRPr="2AF9F5A2">
        <w:rPr>
          <w:rFonts w:eastAsia="Times New Roman" w:cs="Arial"/>
          <w:color w:val="000000" w:themeColor="text1"/>
          <w:lang w:val="es-ES" w:eastAsia="es-ES"/>
        </w:rPr>
        <w:t xml:space="preserve"> el </w:t>
      </w:r>
      <w:r w:rsidR="00D50B44" w:rsidRPr="00D50B44">
        <w:rPr>
          <w:rFonts w:eastAsia="Times New Roman" w:cs="Arial"/>
          <w:color w:val="000000" w:themeColor="text1"/>
          <w:lang w:val="es-ES" w:eastAsia="es-ES"/>
        </w:rPr>
        <w:t>crecimiento del negocio y a la demanda de gas en el país, que de por sí ya viene rezagada.</w:t>
      </w:r>
      <w:r w:rsidR="00AF5FA2">
        <w:rPr>
          <w:rFonts w:eastAsia="Times New Roman" w:cs="Arial"/>
          <w:color w:val="000000" w:themeColor="text1"/>
          <w:lang w:val="es-ES" w:eastAsia="es-ES"/>
        </w:rPr>
        <w:t>”</w:t>
      </w:r>
    </w:p>
    <w:p w14:paraId="1A36A092" w14:textId="77777777" w:rsidR="009E18C2" w:rsidRDefault="009E18C2" w:rsidP="004D371C">
      <w:pPr>
        <w:spacing w:after="0"/>
        <w:jc w:val="both"/>
        <w:rPr>
          <w:rFonts w:eastAsia="Times New Roman" w:cs="Arial"/>
          <w:color w:val="000000" w:themeColor="text1"/>
          <w:spacing w:val="-3"/>
          <w:szCs w:val="24"/>
          <w:lang w:val="es-ES" w:eastAsia="es-ES"/>
        </w:rPr>
      </w:pPr>
    </w:p>
    <w:p w14:paraId="3E446B84" w14:textId="5135EC3E" w:rsidR="00605315" w:rsidRDefault="00D654FF" w:rsidP="001A3546">
      <w:pPr>
        <w:spacing w:after="0"/>
        <w:jc w:val="both"/>
        <w:rPr>
          <w:lang w:val="es-ES"/>
        </w:rPr>
      </w:pPr>
      <w:r>
        <w:rPr>
          <w:rFonts w:eastAsia="Times New Roman" w:cs="Arial"/>
          <w:color w:val="000000" w:themeColor="text1"/>
          <w:spacing w:val="-3"/>
          <w:szCs w:val="24"/>
          <w:lang w:val="es-ES" w:eastAsia="es-ES"/>
        </w:rPr>
        <w:t xml:space="preserve">Por otro </w:t>
      </w:r>
      <w:r w:rsidR="00F0625F">
        <w:rPr>
          <w:rFonts w:eastAsia="Times New Roman" w:cs="Arial"/>
          <w:color w:val="000000" w:themeColor="text1"/>
          <w:spacing w:val="-3"/>
          <w:szCs w:val="24"/>
          <w:lang w:val="es-ES" w:eastAsia="es-ES"/>
        </w:rPr>
        <w:t>lado,</w:t>
      </w:r>
      <w:r w:rsidR="009263A0">
        <w:rPr>
          <w:rFonts w:eastAsia="Times New Roman" w:cs="Arial"/>
          <w:color w:val="000000" w:themeColor="text1"/>
          <w:spacing w:val="-3"/>
          <w:szCs w:val="24"/>
          <w:lang w:val="es-ES" w:eastAsia="es-ES"/>
        </w:rPr>
        <w:t xml:space="preserve"> </w:t>
      </w:r>
      <w:r w:rsidR="00F77C33">
        <w:rPr>
          <w:rFonts w:eastAsia="Times New Roman" w:cs="Arial"/>
          <w:color w:val="000000" w:themeColor="text1"/>
          <w:spacing w:val="-3"/>
          <w:szCs w:val="24"/>
          <w:lang w:val="es-ES" w:eastAsia="es-ES"/>
        </w:rPr>
        <w:t>TGI</w:t>
      </w:r>
      <w:r w:rsidR="00160277">
        <w:rPr>
          <w:rFonts w:eastAsia="Times New Roman" w:cs="Arial"/>
          <w:color w:val="000000" w:themeColor="text1"/>
          <w:spacing w:val="-3"/>
          <w:szCs w:val="24"/>
          <w:lang w:val="es-ES" w:eastAsia="es-ES"/>
        </w:rPr>
        <w:t>,</w:t>
      </w:r>
      <w:r w:rsidR="00F77C33">
        <w:rPr>
          <w:rFonts w:eastAsia="Times New Roman" w:cs="Arial"/>
          <w:color w:val="000000" w:themeColor="text1"/>
          <w:spacing w:val="-3"/>
          <w:szCs w:val="24"/>
          <w:lang w:val="es-ES" w:eastAsia="es-ES"/>
        </w:rPr>
        <w:t xml:space="preserve"> mediante comunicaci</w:t>
      </w:r>
      <w:r w:rsidR="00160277">
        <w:rPr>
          <w:rFonts w:eastAsia="Times New Roman" w:cs="Arial"/>
          <w:color w:val="000000" w:themeColor="text1"/>
          <w:spacing w:val="-3"/>
          <w:szCs w:val="24"/>
          <w:lang w:val="es-ES" w:eastAsia="es-ES"/>
        </w:rPr>
        <w:t xml:space="preserve">ones </w:t>
      </w:r>
      <w:r w:rsidR="00F77C33">
        <w:rPr>
          <w:rFonts w:eastAsia="Times New Roman" w:cs="Arial"/>
          <w:color w:val="000000" w:themeColor="text1"/>
          <w:spacing w:val="-3"/>
          <w:szCs w:val="24"/>
          <w:lang w:val="es-ES" w:eastAsia="es-ES"/>
        </w:rPr>
        <w:t xml:space="preserve">CREG </w:t>
      </w:r>
      <w:r w:rsidR="00F77C33" w:rsidRPr="0075670C">
        <w:rPr>
          <w:rFonts w:eastAsia="Times New Roman" w:cs="Arial"/>
          <w:color w:val="000000" w:themeColor="text1"/>
          <w:spacing w:val="-3"/>
          <w:szCs w:val="24"/>
          <w:lang w:val="es-ES" w:eastAsia="es-ES"/>
        </w:rPr>
        <w:t>E-2022-001905</w:t>
      </w:r>
      <w:r w:rsidR="00F77C33">
        <w:rPr>
          <w:rFonts w:eastAsia="Times New Roman" w:cs="Arial"/>
          <w:color w:val="000000" w:themeColor="text1"/>
          <w:spacing w:val="-3"/>
          <w:szCs w:val="24"/>
          <w:lang w:val="es-ES" w:eastAsia="es-ES"/>
        </w:rPr>
        <w:t xml:space="preserve"> y </w:t>
      </w:r>
      <w:r w:rsidR="00F77C33" w:rsidRPr="0075670C">
        <w:rPr>
          <w:rFonts w:eastAsia="Times New Roman" w:cs="Arial"/>
          <w:color w:val="000000" w:themeColor="text1"/>
          <w:spacing w:val="-3"/>
          <w:szCs w:val="24"/>
          <w:lang w:val="es-ES" w:eastAsia="es-ES"/>
        </w:rPr>
        <w:t>E-2022-0019</w:t>
      </w:r>
      <w:r w:rsidR="00F77C33">
        <w:rPr>
          <w:rFonts w:eastAsia="Times New Roman" w:cs="Arial"/>
          <w:color w:val="000000" w:themeColor="text1"/>
          <w:spacing w:val="-3"/>
          <w:szCs w:val="24"/>
          <w:lang w:val="es-ES" w:eastAsia="es-ES"/>
        </w:rPr>
        <w:t>60</w:t>
      </w:r>
      <w:r w:rsidR="00160277">
        <w:rPr>
          <w:rFonts w:eastAsia="Times New Roman" w:cs="Arial"/>
          <w:color w:val="000000" w:themeColor="text1"/>
          <w:spacing w:val="-3"/>
          <w:szCs w:val="24"/>
          <w:lang w:val="es-ES" w:eastAsia="es-ES"/>
        </w:rPr>
        <w:t>,</w:t>
      </w:r>
      <w:r w:rsidR="00F77C33">
        <w:rPr>
          <w:rFonts w:eastAsia="Times New Roman" w:cs="Arial"/>
          <w:color w:val="000000" w:themeColor="text1"/>
          <w:spacing w:val="-3"/>
          <w:szCs w:val="24"/>
          <w:lang w:val="es-ES" w:eastAsia="es-ES"/>
        </w:rPr>
        <w:t xml:space="preserve"> remitió el plan de atención a la demanda conectada al tramo la Belleza- Sucre Oriental, </w:t>
      </w:r>
      <w:r w:rsidR="009263A0">
        <w:rPr>
          <w:rFonts w:eastAsia="Times New Roman" w:cs="Arial"/>
          <w:color w:val="000000" w:themeColor="text1"/>
          <w:spacing w:val="-3"/>
          <w:szCs w:val="24"/>
          <w:lang w:val="es-ES" w:eastAsia="es-ES"/>
        </w:rPr>
        <w:t xml:space="preserve">en cumplimiento </w:t>
      </w:r>
      <w:r w:rsidR="00CC644A">
        <w:rPr>
          <w:rFonts w:eastAsia="Times New Roman" w:cs="Arial"/>
          <w:color w:val="000000" w:themeColor="text1"/>
          <w:spacing w:val="-3"/>
          <w:szCs w:val="24"/>
          <w:lang w:val="es-ES" w:eastAsia="es-ES"/>
        </w:rPr>
        <w:t>de</w:t>
      </w:r>
      <w:r w:rsidR="009263A0">
        <w:rPr>
          <w:rFonts w:eastAsia="Times New Roman" w:cs="Arial"/>
          <w:color w:val="000000" w:themeColor="text1"/>
          <w:spacing w:val="-3"/>
          <w:szCs w:val="24"/>
          <w:lang w:val="es-ES" w:eastAsia="es-ES"/>
        </w:rPr>
        <w:t>l</w:t>
      </w:r>
      <w:r w:rsidDel="009263A0">
        <w:rPr>
          <w:rFonts w:eastAsia="Times New Roman" w:cs="Arial"/>
          <w:color w:val="000000" w:themeColor="text1"/>
          <w:spacing w:val="-3"/>
          <w:szCs w:val="24"/>
          <w:lang w:val="es-ES" w:eastAsia="es-ES"/>
        </w:rPr>
        <w:t xml:space="preserve"> </w:t>
      </w:r>
      <w:r w:rsidR="00811A36">
        <w:rPr>
          <w:rFonts w:eastAsia="Times New Roman" w:cs="Arial"/>
          <w:color w:val="000000" w:themeColor="text1"/>
          <w:spacing w:val="-3"/>
          <w:szCs w:val="24"/>
          <w:lang w:val="es-ES" w:eastAsia="es-ES"/>
        </w:rPr>
        <w:t>requerimiento del pa</w:t>
      </w:r>
      <w:r w:rsidR="00605315">
        <w:rPr>
          <w:rFonts w:eastAsia="Times New Roman" w:cs="Arial"/>
          <w:color w:val="000000" w:themeColor="text1"/>
          <w:spacing w:val="-3"/>
          <w:szCs w:val="24"/>
          <w:lang w:val="es-ES" w:eastAsia="es-ES"/>
        </w:rPr>
        <w:t xml:space="preserve">rágrafo 4 del artículo 1 de la </w:t>
      </w:r>
      <w:r w:rsidR="00605315" w:rsidRPr="00605315">
        <w:rPr>
          <w:rFonts w:eastAsia="Times New Roman" w:cs="Arial"/>
          <w:color w:val="000000" w:themeColor="text1"/>
          <w:spacing w:val="-3"/>
          <w:szCs w:val="24"/>
          <w:lang w:val="es-ES" w:eastAsia="es-ES"/>
        </w:rPr>
        <w:t>Resolución CREG 099 de 2021</w:t>
      </w:r>
      <w:r w:rsidR="002E74E8">
        <w:rPr>
          <w:rFonts w:eastAsia="Times New Roman" w:cs="Arial"/>
          <w:color w:val="000000" w:themeColor="text1"/>
          <w:spacing w:val="-3"/>
          <w:szCs w:val="24"/>
          <w:lang w:val="es-ES" w:eastAsia="es-ES"/>
        </w:rPr>
        <w:t xml:space="preserve">, el cual será tenido en cuenta para efectos de la presente resolución. </w:t>
      </w:r>
    </w:p>
    <w:p w14:paraId="1A677DAC" w14:textId="77777777" w:rsidR="00605315" w:rsidRDefault="00605315" w:rsidP="00582116">
      <w:pPr>
        <w:rPr>
          <w:i/>
          <w:iCs/>
          <w:sz w:val="22"/>
          <w:szCs w:val="21"/>
          <w:lang w:val="es-ES"/>
        </w:rPr>
      </w:pPr>
    </w:p>
    <w:p w14:paraId="152F4FAF" w14:textId="25946C6A" w:rsidR="00582116" w:rsidRPr="00605315" w:rsidRDefault="00582116" w:rsidP="00FF78F3">
      <w:pPr>
        <w:jc w:val="both"/>
        <w:rPr>
          <w:i/>
          <w:iCs/>
          <w:sz w:val="22"/>
          <w:szCs w:val="21"/>
          <w:lang w:val="es-ES"/>
        </w:rPr>
      </w:pPr>
      <w:r>
        <w:rPr>
          <w:rFonts w:eastAsia="Times New Roman" w:cs="Arial"/>
          <w:color w:val="000000" w:themeColor="text1"/>
          <w:spacing w:val="-3"/>
          <w:szCs w:val="24"/>
          <w:lang w:val="es-ES" w:eastAsia="es-ES"/>
        </w:rPr>
        <w:t xml:space="preserve">La anterior información </w:t>
      </w:r>
      <w:r w:rsidR="001F212D">
        <w:rPr>
          <w:rFonts w:eastAsia="Times New Roman" w:cs="Arial"/>
          <w:color w:val="000000" w:themeColor="text1"/>
          <w:spacing w:val="-3"/>
          <w:szCs w:val="24"/>
          <w:lang w:val="es-ES" w:eastAsia="es-ES"/>
        </w:rPr>
        <w:t>fue</w:t>
      </w:r>
      <w:r>
        <w:rPr>
          <w:rFonts w:eastAsia="Times New Roman" w:cs="Arial"/>
          <w:color w:val="000000" w:themeColor="text1"/>
          <w:spacing w:val="-3"/>
          <w:szCs w:val="24"/>
          <w:lang w:val="es-ES" w:eastAsia="es-ES"/>
        </w:rPr>
        <w:t xml:space="preserve"> considerada dentro del análisis de la Comisión para efectos de la decisión</w:t>
      </w:r>
      <w:r w:rsidR="0065427F">
        <w:rPr>
          <w:rFonts w:eastAsia="Times New Roman" w:cs="Arial"/>
          <w:color w:val="000000" w:themeColor="text1"/>
          <w:spacing w:val="-3"/>
          <w:szCs w:val="24"/>
          <w:lang w:val="es-ES" w:eastAsia="es-ES"/>
        </w:rPr>
        <w:t>, tal como se procede a explicar a continuación.</w:t>
      </w:r>
    </w:p>
    <w:p w14:paraId="752FD5AF" w14:textId="77777777" w:rsidR="001D41A1" w:rsidRDefault="001D41A1" w:rsidP="004D371C">
      <w:pPr>
        <w:spacing w:after="0"/>
        <w:jc w:val="both"/>
        <w:rPr>
          <w:rFonts w:eastAsia="Times New Roman" w:cs="Arial"/>
          <w:color w:val="000000" w:themeColor="text1"/>
          <w:spacing w:val="-3"/>
          <w:szCs w:val="24"/>
          <w:lang w:val="es-ES" w:eastAsia="es-ES"/>
        </w:rPr>
      </w:pPr>
    </w:p>
    <w:p w14:paraId="7B0D4972" w14:textId="42A24132" w:rsidR="005E0E7A" w:rsidRPr="00A25B25" w:rsidRDefault="00C22BAB" w:rsidP="00A60F17">
      <w:pPr>
        <w:pStyle w:val="Tit1"/>
        <w:ind w:left="567" w:hanging="567"/>
      </w:pPr>
      <w:r w:rsidRPr="00A25B25">
        <w:t>Análisis</w:t>
      </w:r>
      <w:r w:rsidR="005E0E7A" w:rsidRPr="00A25B25">
        <w:t xml:space="preserve"> </w:t>
      </w:r>
      <w:r w:rsidRPr="00A25B25">
        <w:t>dentro de la actuación</w:t>
      </w:r>
      <w:r w:rsidR="00835627" w:rsidRPr="00A25B25">
        <w:t xml:space="preserve"> de la Resolución CREG 502 024 de 2022</w:t>
      </w:r>
    </w:p>
    <w:p w14:paraId="3C8EB1DA" w14:textId="77777777" w:rsidR="00C22BAB" w:rsidRPr="00C22BAB" w:rsidRDefault="00C22BAB" w:rsidP="00C22BAB">
      <w:pPr>
        <w:rPr>
          <w:lang w:eastAsia="es-ES"/>
        </w:rPr>
      </w:pPr>
    </w:p>
    <w:p w14:paraId="4F84EA54" w14:textId="0207A9E4" w:rsidR="00FB479C" w:rsidRPr="00167621" w:rsidRDefault="00013BC8" w:rsidP="00A60F17">
      <w:pPr>
        <w:pStyle w:val="Tit1"/>
        <w:numPr>
          <w:ilvl w:val="1"/>
          <w:numId w:val="7"/>
        </w:numPr>
        <w:ind w:hanging="792"/>
        <w:jc w:val="both"/>
      </w:pPr>
      <w:r w:rsidRPr="00C22BAB">
        <w:t>Inclusión</w:t>
      </w:r>
      <w:r w:rsidRPr="00167621">
        <w:t xml:space="preserve"> </w:t>
      </w:r>
      <w:r w:rsidR="00132F87" w:rsidRPr="00167621">
        <w:t xml:space="preserve">en cargos de </w:t>
      </w:r>
      <w:r w:rsidRPr="00167621">
        <w:t xml:space="preserve">activos </w:t>
      </w:r>
      <w:r w:rsidR="00132F87" w:rsidRPr="00167621">
        <w:t>repuestos</w:t>
      </w:r>
      <w:r w:rsidR="00695DDC" w:rsidRPr="00167621">
        <w:t xml:space="preserve"> </w:t>
      </w:r>
      <w:r w:rsidR="00FB479C" w:rsidRPr="00167621">
        <w:t>por TGI</w:t>
      </w:r>
      <w:r w:rsidR="00132F87" w:rsidRPr="00167621">
        <w:t xml:space="preserve"> ramales </w:t>
      </w:r>
      <w:proofErr w:type="spellStart"/>
      <w:r w:rsidR="00132F87" w:rsidRPr="00167621">
        <w:t>Yarigüíes</w:t>
      </w:r>
      <w:proofErr w:type="spellEnd"/>
      <w:r w:rsidR="00132F87" w:rsidRPr="00167621">
        <w:t xml:space="preserve"> – Puerto Wilches, Zona Industrial Cantagallo – Cantagallo, Cantagallo – San Pablo y Pompeya</w:t>
      </w:r>
    </w:p>
    <w:p w14:paraId="5F8EC4CF" w14:textId="77777777" w:rsidR="00FB479C" w:rsidRDefault="00FB479C" w:rsidP="00FB479C">
      <w:pPr>
        <w:rPr>
          <w:lang w:val="es-ES"/>
        </w:rPr>
      </w:pPr>
    </w:p>
    <w:p w14:paraId="2233C007" w14:textId="025F4BC3" w:rsidR="00495F0E" w:rsidRDefault="00132F87" w:rsidP="001A3546">
      <w:pPr>
        <w:jc w:val="both"/>
        <w:rPr>
          <w:rFonts w:eastAsia="Times New Roman" w:cs="Arial"/>
          <w:color w:val="000000" w:themeColor="text1"/>
          <w:spacing w:val="-3"/>
          <w:szCs w:val="24"/>
          <w:lang w:val="es-ES" w:eastAsia="es-ES"/>
        </w:rPr>
      </w:pPr>
      <w:r>
        <w:rPr>
          <w:lang w:val="es-ES"/>
        </w:rPr>
        <w:t xml:space="preserve">Los gasoductos </w:t>
      </w:r>
      <w:r w:rsidRPr="005600FD">
        <w:rPr>
          <w:rFonts w:eastAsia="Times New Roman" w:cs="Arial"/>
          <w:color w:val="000000" w:themeColor="text1"/>
          <w:spacing w:val="-3"/>
          <w:szCs w:val="24"/>
          <w:lang w:val="es-ES" w:eastAsia="es-ES"/>
        </w:rPr>
        <w:t xml:space="preserve">ramales </w:t>
      </w:r>
      <w:proofErr w:type="spellStart"/>
      <w:r w:rsidRPr="005600FD">
        <w:rPr>
          <w:rFonts w:eastAsia="Times New Roman" w:cs="Arial"/>
          <w:color w:val="000000" w:themeColor="text1"/>
          <w:spacing w:val="-3"/>
          <w:szCs w:val="24"/>
          <w:lang w:val="es-ES" w:eastAsia="es-ES"/>
        </w:rPr>
        <w:t>Yarigüíes</w:t>
      </w:r>
      <w:proofErr w:type="spellEnd"/>
      <w:r w:rsidRPr="005600FD">
        <w:rPr>
          <w:rFonts w:eastAsia="Times New Roman" w:cs="Arial"/>
          <w:color w:val="000000" w:themeColor="text1"/>
          <w:spacing w:val="-3"/>
          <w:szCs w:val="24"/>
          <w:lang w:val="es-ES" w:eastAsia="es-ES"/>
        </w:rPr>
        <w:t xml:space="preserve"> – Puerto Wilches, Zona Industrial Cantagallo – Cantagallo, Cantagallo – San Pablo y Pompeya</w:t>
      </w:r>
      <w:r w:rsidR="000E5CB5">
        <w:rPr>
          <w:rFonts w:eastAsia="Times New Roman" w:cs="Arial"/>
          <w:color w:val="000000" w:themeColor="text1"/>
          <w:spacing w:val="-3"/>
          <w:szCs w:val="24"/>
          <w:lang w:val="es-ES" w:eastAsia="es-ES"/>
        </w:rPr>
        <w:t>,</w:t>
      </w:r>
      <w:r>
        <w:rPr>
          <w:rFonts w:eastAsia="Times New Roman" w:cs="Arial"/>
          <w:color w:val="000000" w:themeColor="text1"/>
          <w:spacing w:val="-3"/>
          <w:szCs w:val="24"/>
          <w:lang w:val="es-ES" w:eastAsia="es-ES"/>
        </w:rPr>
        <w:t xml:space="preserve"> </w:t>
      </w:r>
      <w:r w:rsidR="00C63BEC">
        <w:rPr>
          <w:lang w:val="es-ES"/>
        </w:rPr>
        <w:t>asociados a la</w:t>
      </w:r>
      <w:r>
        <w:rPr>
          <w:lang w:val="es-ES"/>
        </w:rPr>
        <w:t>s</w:t>
      </w:r>
      <w:r w:rsidR="00C63BEC">
        <w:rPr>
          <w:lang w:val="es-ES"/>
        </w:rPr>
        <w:t xml:space="preserve"> </w:t>
      </w:r>
      <w:r>
        <w:rPr>
          <w:lang w:val="es-ES"/>
        </w:rPr>
        <w:t xml:space="preserve">resoluciones </w:t>
      </w:r>
      <w:r w:rsidR="00C63BEC">
        <w:rPr>
          <w:lang w:val="es-ES"/>
        </w:rPr>
        <w:t>CRE</w:t>
      </w:r>
      <w:r w:rsidR="00FB479C">
        <w:rPr>
          <w:lang w:val="es-ES"/>
        </w:rPr>
        <w:t>G</w:t>
      </w:r>
      <w:r w:rsidR="0000089D">
        <w:rPr>
          <w:lang w:val="es-ES"/>
        </w:rPr>
        <w:t xml:space="preserve"> </w:t>
      </w:r>
      <w:r w:rsidR="00C63BEC">
        <w:rPr>
          <w:lang w:val="es-ES"/>
        </w:rPr>
        <w:t>162 de 2015 y</w:t>
      </w:r>
      <w:r w:rsidR="00495F0E">
        <w:rPr>
          <w:lang w:val="es-ES"/>
        </w:rPr>
        <w:t xml:space="preserve"> 085 de 2016</w:t>
      </w:r>
      <w:r w:rsidR="000E5CB5">
        <w:rPr>
          <w:lang w:val="es-ES"/>
        </w:rPr>
        <w:t>,</w:t>
      </w:r>
      <w:r>
        <w:rPr>
          <w:lang w:val="es-ES"/>
        </w:rPr>
        <w:t xml:space="preserve"> </w:t>
      </w:r>
      <w:r w:rsidR="00860481">
        <w:rPr>
          <w:lang w:val="es-ES"/>
        </w:rPr>
        <w:t>fueron</w:t>
      </w:r>
      <w:r w:rsidR="0000089D">
        <w:rPr>
          <w:lang w:val="es-ES"/>
        </w:rPr>
        <w:t xml:space="preserve"> incluidos</w:t>
      </w:r>
      <w:r w:rsidR="00753F3E">
        <w:rPr>
          <w:lang w:val="es-ES"/>
        </w:rPr>
        <w:t xml:space="preserve"> en los cargos de TGI,</w:t>
      </w:r>
      <w:r>
        <w:rPr>
          <w:lang w:val="es-ES"/>
        </w:rPr>
        <w:t xml:space="preserve"> considerando </w:t>
      </w:r>
      <w:r w:rsidR="00A803C9">
        <w:rPr>
          <w:lang w:val="es-ES"/>
        </w:rPr>
        <w:t xml:space="preserve">que mediante radicado </w:t>
      </w:r>
      <w:r w:rsidR="00A803C9">
        <w:rPr>
          <w:rFonts w:eastAsia="Times New Roman" w:cs="Arial"/>
          <w:color w:val="000000" w:themeColor="text1"/>
          <w:spacing w:val="-3"/>
          <w:szCs w:val="24"/>
          <w:lang w:val="es-ES" w:eastAsia="es-ES"/>
        </w:rPr>
        <w:t>E-2020-014442</w:t>
      </w:r>
      <w:r w:rsidR="000E5CB5">
        <w:rPr>
          <w:rFonts w:eastAsia="Times New Roman" w:cs="Arial"/>
          <w:color w:val="000000" w:themeColor="text1"/>
          <w:spacing w:val="-3"/>
          <w:szCs w:val="24"/>
          <w:lang w:val="es-ES" w:eastAsia="es-ES"/>
        </w:rPr>
        <w:t>,</w:t>
      </w:r>
      <w:r w:rsidR="00A803C9">
        <w:rPr>
          <w:rFonts w:eastAsia="Times New Roman" w:cs="Arial"/>
          <w:color w:val="000000" w:themeColor="text1"/>
          <w:spacing w:val="-3"/>
          <w:szCs w:val="24"/>
          <w:lang w:val="es-ES" w:eastAsia="es-ES"/>
        </w:rPr>
        <w:t xml:space="preserve"> la SSPD confirmó la entrada en operación</w:t>
      </w:r>
      <w:r w:rsidR="00753F3E">
        <w:rPr>
          <w:rFonts w:eastAsia="Times New Roman" w:cs="Arial"/>
          <w:color w:val="000000" w:themeColor="text1"/>
          <w:spacing w:val="-3"/>
          <w:szCs w:val="24"/>
          <w:lang w:val="es-ES" w:eastAsia="es-ES"/>
        </w:rPr>
        <w:t>. En consecuencia,</w:t>
      </w:r>
      <w:r w:rsidR="00A803C9">
        <w:rPr>
          <w:rFonts w:eastAsia="Times New Roman" w:cs="Arial"/>
          <w:color w:val="000000" w:themeColor="text1"/>
          <w:spacing w:val="-3"/>
          <w:szCs w:val="24"/>
          <w:lang w:val="es-ES" w:eastAsia="es-ES"/>
        </w:rPr>
        <w:t xml:space="preserve"> </w:t>
      </w:r>
      <w:r w:rsidR="00B60719">
        <w:rPr>
          <w:rFonts w:eastAsia="Times New Roman" w:cs="Arial"/>
          <w:color w:val="000000" w:themeColor="text1"/>
          <w:spacing w:val="-3"/>
          <w:szCs w:val="24"/>
          <w:lang w:val="es-ES" w:eastAsia="es-ES"/>
        </w:rPr>
        <w:t>se procede a reemplazar los valores VAO por los valores VRAN en la base tarifaria acorde a la siguiente tabla:</w:t>
      </w:r>
    </w:p>
    <w:p w14:paraId="00E3AB42" w14:textId="77777777" w:rsidR="005A6D58" w:rsidRDefault="005A6D58" w:rsidP="001A3546">
      <w:pPr>
        <w:jc w:val="both"/>
        <w:rPr>
          <w:rFonts w:eastAsia="Times New Roman" w:cs="Arial"/>
          <w:color w:val="000000" w:themeColor="text1"/>
          <w:spacing w:val="-3"/>
          <w:szCs w:val="24"/>
          <w:lang w:val="es-ES" w:eastAsia="es-ES"/>
        </w:rPr>
      </w:pPr>
    </w:p>
    <w:p w14:paraId="7CAE3950" w14:textId="77777777" w:rsidR="00B60719" w:rsidRDefault="00B60719" w:rsidP="00495F0E">
      <w:pPr>
        <w:rPr>
          <w:lang w:val="es-ES" w:eastAsia="es-ES"/>
        </w:rPr>
      </w:pPr>
    </w:p>
    <w:tbl>
      <w:tblPr>
        <w:tblW w:w="9346" w:type="dxa"/>
        <w:tblCellMar>
          <w:left w:w="70" w:type="dxa"/>
          <w:right w:w="70" w:type="dxa"/>
        </w:tblCellMar>
        <w:tblLook w:val="04A0" w:firstRow="1" w:lastRow="0" w:firstColumn="1" w:lastColumn="0" w:noHBand="0" w:noVBand="1"/>
      </w:tblPr>
      <w:tblGrid>
        <w:gridCol w:w="4497"/>
        <w:gridCol w:w="2235"/>
        <w:gridCol w:w="2614"/>
      </w:tblGrid>
      <w:tr w:rsidR="006D5952" w:rsidRPr="006D5952" w14:paraId="0A76455B" w14:textId="77777777" w:rsidTr="006D5952">
        <w:trPr>
          <w:trHeight w:val="300"/>
        </w:trPr>
        <w:tc>
          <w:tcPr>
            <w:tcW w:w="4497" w:type="dxa"/>
            <w:tcBorders>
              <w:top w:val="single" w:sz="4" w:space="0" w:color="A5A5A5"/>
              <w:left w:val="single" w:sz="4" w:space="0" w:color="A5A5A5"/>
              <w:bottom w:val="single" w:sz="8" w:space="0" w:color="A5A5A5"/>
              <w:right w:val="single" w:sz="4" w:space="0" w:color="A5A5A5"/>
            </w:tcBorders>
            <w:shd w:val="clear" w:color="auto" w:fill="auto"/>
            <w:noWrap/>
            <w:vAlign w:val="bottom"/>
            <w:hideMark/>
          </w:tcPr>
          <w:p w14:paraId="26B99B22" w14:textId="77777777" w:rsidR="006D5952" w:rsidRPr="006D5952" w:rsidRDefault="006D5952" w:rsidP="006D5952">
            <w:pPr>
              <w:spacing w:after="0"/>
              <w:contextualSpacing w:val="0"/>
              <w:outlineLvl w:val="0"/>
              <w:rPr>
                <w:rFonts w:eastAsia="Times New Roman" w:cs="Calibri"/>
                <w:b/>
                <w:bCs/>
                <w:sz w:val="22"/>
                <w:lang w:eastAsia="es-MX"/>
              </w:rPr>
            </w:pPr>
            <w:r w:rsidRPr="006D5952">
              <w:rPr>
                <w:rFonts w:eastAsia="Times New Roman" w:cs="Calibri"/>
                <w:b/>
                <w:bCs/>
                <w:sz w:val="22"/>
                <w:lang w:eastAsia="es-MX"/>
              </w:rPr>
              <w:t>Gasoducto</w:t>
            </w:r>
          </w:p>
        </w:tc>
        <w:tc>
          <w:tcPr>
            <w:tcW w:w="2235" w:type="dxa"/>
            <w:tcBorders>
              <w:top w:val="single" w:sz="4" w:space="0" w:color="A5A5A5"/>
              <w:left w:val="single" w:sz="4" w:space="0" w:color="A5A5A5"/>
              <w:bottom w:val="single" w:sz="8" w:space="0" w:color="A5A5A5"/>
              <w:right w:val="single" w:sz="4" w:space="0" w:color="A5A5A5"/>
            </w:tcBorders>
            <w:shd w:val="clear" w:color="auto" w:fill="auto"/>
            <w:noWrap/>
            <w:vAlign w:val="bottom"/>
            <w:hideMark/>
          </w:tcPr>
          <w:p w14:paraId="398129E3" w14:textId="77777777" w:rsidR="006D5952" w:rsidRPr="006D5952" w:rsidRDefault="006D5952" w:rsidP="006D5952">
            <w:pPr>
              <w:spacing w:after="0"/>
              <w:contextualSpacing w:val="0"/>
              <w:outlineLvl w:val="0"/>
              <w:rPr>
                <w:rFonts w:eastAsia="Times New Roman" w:cs="Calibri"/>
                <w:b/>
                <w:bCs/>
                <w:sz w:val="22"/>
                <w:lang w:eastAsia="es-MX"/>
              </w:rPr>
            </w:pPr>
            <w:proofErr w:type="gramStart"/>
            <w:r w:rsidRPr="006D5952">
              <w:rPr>
                <w:rFonts w:eastAsia="Times New Roman" w:cs="Calibri"/>
                <w:b/>
                <w:bCs/>
                <w:sz w:val="22"/>
                <w:lang w:eastAsia="es-MX"/>
              </w:rPr>
              <w:t>valor a retirar</w:t>
            </w:r>
            <w:proofErr w:type="gramEnd"/>
            <w:r w:rsidRPr="006D5952">
              <w:rPr>
                <w:rFonts w:eastAsia="Times New Roman" w:cs="Calibri"/>
                <w:b/>
                <w:bCs/>
                <w:sz w:val="22"/>
                <w:lang w:eastAsia="es-MX"/>
              </w:rPr>
              <w:t xml:space="preserve"> VAO [1]</w:t>
            </w:r>
          </w:p>
        </w:tc>
        <w:tc>
          <w:tcPr>
            <w:tcW w:w="2614" w:type="dxa"/>
            <w:tcBorders>
              <w:top w:val="single" w:sz="4" w:space="0" w:color="A5A5A5"/>
              <w:left w:val="single" w:sz="4" w:space="0" w:color="A5A5A5"/>
              <w:bottom w:val="single" w:sz="8" w:space="0" w:color="A5A5A5"/>
              <w:right w:val="single" w:sz="4" w:space="0" w:color="A5A5A5"/>
            </w:tcBorders>
            <w:shd w:val="clear" w:color="auto" w:fill="auto"/>
            <w:noWrap/>
            <w:vAlign w:val="bottom"/>
            <w:hideMark/>
          </w:tcPr>
          <w:p w14:paraId="2B30CEB2" w14:textId="74DB1A32" w:rsidR="006D5952" w:rsidRPr="006D5952" w:rsidRDefault="005212AB" w:rsidP="006D5952">
            <w:pPr>
              <w:spacing w:after="0"/>
              <w:contextualSpacing w:val="0"/>
              <w:outlineLvl w:val="0"/>
              <w:rPr>
                <w:rFonts w:eastAsia="Times New Roman" w:cs="Calibri"/>
                <w:b/>
                <w:bCs/>
                <w:sz w:val="22"/>
                <w:lang w:eastAsia="es-MX"/>
              </w:rPr>
            </w:pPr>
            <w:proofErr w:type="gramStart"/>
            <w:r w:rsidRPr="006D5952">
              <w:rPr>
                <w:rFonts w:eastAsia="Times New Roman" w:cs="Calibri"/>
                <w:b/>
                <w:bCs/>
                <w:sz w:val="22"/>
                <w:lang w:eastAsia="es-MX"/>
              </w:rPr>
              <w:t>valor a</w:t>
            </w:r>
            <w:r w:rsidR="006D5952" w:rsidRPr="006D5952">
              <w:rPr>
                <w:rFonts w:eastAsia="Times New Roman" w:cs="Calibri"/>
                <w:b/>
                <w:bCs/>
                <w:sz w:val="22"/>
                <w:lang w:eastAsia="es-MX"/>
              </w:rPr>
              <w:t xml:space="preserve"> adicionar</w:t>
            </w:r>
            <w:proofErr w:type="gramEnd"/>
            <w:r w:rsidR="006D5952" w:rsidRPr="006D5952">
              <w:rPr>
                <w:rFonts w:eastAsia="Times New Roman" w:cs="Calibri"/>
                <w:b/>
                <w:bCs/>
                <w:sz w:val="22"/>
                <w:lang w:eastAsia="es-MX"/>
              </w:rPr>
              <w:t xml:space="preserve"> </w:t>
            </w:r>
            <w:r w:rsidR="0063235A" w:rsidRPr="006D5952">
              <w:rPr>
                <w:rFonts w:eastAsia="Times New Roman" w:cs="Calibri"/>
                <w:b/>
                <w:bCs/>
                <w:sz w:val="22"/>
                <w:lang w:eastAsia="es-MX"/>
              </w:rPr>
              <w:t>VRAN [</w:t>
            </w:r>
            <w:r w:rsidR="006D5952" w:rsidRPr="006D5952">
              <w:rPr>
                <w:rFonts w:eastAsia="Times New Roman" w:cs="Calibri"/>
                <w:b/>
                <w:bCs/>
                <w:sz w:val="22"/>
                <w:lang w:eastAsia="es-MX"/>
              </w:rPr>
              <w:t>1]</w:t>
            </w:r>
          </w:p>
        </w:tc>
      </w:tr>
      <w:tr w:rsidR="006D5952" w:rsidRPr="006D5952" w14:paraId="32A9C5FF"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EDEDED" w:fill="EDEDED"/>
            <w:noWrap/>
            <w:vAlign w:val="center"/>
            <w:hideMark/>
          </w:tcPr>
          <w:p w14:paraId="764F5A7E" w14:textId="3D3BFAE0" w:rsidR="006D5952" w:rsidRPr="006D5952" w:rsidRDefault="003172E7" w:rsidP="006D5952">
            <w:pPr>
              <w:spacing w:after="0"/>
              <w:contextualSpacing w:val="0"/>
              <w:outlineLvl w:val="0"/>
              <w:rPr>
                <w:rFonts w:eastAsia="Times New Roman" w:cs="Calibri"/>
                <w:sz w:val="22"/>
                <w:lang w:eastAsia="es-MX"/>
              </w:rPr>
            </w:pPr>
            <w:r w:rsidRPr="006D5952">
              <w:rPr>
                <w:rFonts w:eastAsia="Times New Roman" w:cs="Calibri"/>
                <w:sz w:val="22"/>
                <w:lang w:eastAsia="es-MX"/>
              </w:rPr>
              <w:t>Pompeya</w:t>
            </w:r>
          </w:p>
        </w:tc>
        <w:tc>
          <w:tcPr>
            <w:tcW w:w="22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D4F9AF1"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128.130</w:t>
            </w:r>
          </w:p>
        </w:tc>
        <w:tc>
          <w:tcPr>
            <w:tcW w:w="261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1F80377"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213.551</w:t>
            </w:r>
          </w:p>
        </w:tc>
      </w:tr>
      <w:tr w:rsidR="006D5952" w:rsidRPr="006D5952" w14:paraId="403F6A06"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1D9257" w14:textId="77777777" w:rsidR="006D5952" w:rsidRPr="006D5952" w:rsidRDefault="006D5952" w:rsidP="006D5952">
            <w:pPr>
              <w:spacing w:after="0"/>
              <w:contextualSpacing w:val="0"/>
              <w:outlineLvl w:val="0"/>
              <w:rPr>
                <w:rFonts w:eastAsia="Times New Roman" w:cs="Calibri"/>
                <w:sz w:val="22"/>
                <w:lang w:eastAsia="es-MX"/>
              </w:rPr>
            </w:pPr>
            <w:r w:rsidRPr="006D5952">
              <w:rPr>
                <w:rFonts w:eastAsia="Times New Roman" w:cs="Calibri"/>
                <w:sz w:val="22"/>
                <w:lang w:eastAsia="es-MX"/>
              </w:rPr>
              <w:t xml:space="preserve">Ramal </w:t>
            </w:r>
            <w:proofErr w:type="spellStart"/>
            <w:r w:rsidRPr="006D5952">
              <w:rPr>
                <w:rFonts w:eastAsia="Times New Roman" w:cs="Calibri"/>
                <w:sz w:val="22"/>
                <w:lang w:eastAsia="es-MX"/>
              </w:rPr>
              <w:t>Yariguíes</w:t>
            </w:r>
            <w:proofErr w:type="spellEnd"/>
            <w:r w:rsidRPr="006D5952">
              <w:rPr>
                <w:rFonts w:eastAsia="Times New Roman" w:cs="Calibri"/>
                <w:sz w:val="22"/>
                <w:lang w:eastAsia="es-MX"/>
              </w:rPr>
              <w:t xml:space="preserve"> - Puerto Wilches</w:t>
            </w:r>
          </w:p>
        </w:tc>
        <w:tc>
          <w:tcPr>
            <w:tcW w:w="2235"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783F11E"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386.924</w:t>
            </w:r>
          </w:p>
        </w:tc>
        <w:tc>
          <w:tcPr>
            <w:tcW w:w="2614"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C5D9C1"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644.873</w:t>
            </w:r>
          </w:p>
        </w:tc>
      </w:tr>
      <w:tr w:rsidR="006D5952" w:rsidRPr="006D5952" w14:paraId="7BD49FF2"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EDEDED" w:fill="EDEDED"/>
            <w:noWrap/>
            <w:vAlign w:val="center"/>
            <w:hideMark/>
          </w:tcPr>
          <w:p w14:paraId="5BD348C3" w14:textId="77777777" w:rsidR="006D5952" w:rsidRPr="006D5952" w:rsidRDefault="006D5952" w:rsidP="006D5952">
            <w:pPr>
              <w:spacing w:after="0"/>
              <w:contextualSpacing w:val="0"/>
              <w:outlineLvl w:val="0"/>
              <w:rPr>
                <w:rFonts w:eastAsia="Times New Roman" w:cs="Calibri"/>
                <w:sz w:val="22"/>
                <w:lang w:val="en-US" w:eastAsia="es-MX"/>
              </w:rPr>
            </w:pPr>
            <w:r w:rsidRPr="006D5952">
              <w:rPr>
                <w:rFonts w:eastAsia="Times New Roman" w:cs="Calibri"/>
                <w:sz w:val="22"/>
                <w:lang w:val="en-US" w:eastAsia="es-MX"/>
              </w:rPr>
              <w:t xml:space="preserve">Ramal Z. Ind. </w:t>
            </w:r>
            <w:proofErr w:type="spellStart"/>
            <w:r w:rsidRPr="006D5952">
              <w:rPr>
                <w:rFonts w:eastAsia="Times New Roman" w:cs="Calibri"/>
                <w:sz w:val="22"/>
                <w:lang w:val="en-US" w:eastAsia="es-MX"/>
              </w:rPr>
              <w:t>Cantagallo</w:t>
            </w:r>
            <w:proofErr w:type="spellEnd"/>
            <w:r w:rsidRPr="006D5952">
              <w:rPr>
                <w:rFonts w:eastAsia="Times New Roman" w:cs="Calibri"/>
                <w:sz w:val="22"/>
                <w:lang w:val="en-US" w:eastAsia="es-MX"/>
              </w:rPr>
              <w:t xml:space="preserve"> - </w:t>
            </w:r>
            <w:proofErr w:type="spellStart"/>
            <w:r w:rsidRPr="006D5952">
              <w:rPr>
                <w:rFonts w:eastAsia="Times New Roman" w:cs="Calibri"/>
                <w:sz w:val="22"/>
                <w:lang w:val="en-US" w:eastAsia="es-MX"/>
              </w:rPr>
              <w:t>Cantagallo</w:t>
            </w:r>
            <w:proofErr w:type="spellEnd"/>
            <w:r w:rsidRPr="006D5952">
              <w:rPr>
                <w:rFonts w:eastAsia="Times New Roman" w:cs="Calibri"/>
                <w:sz w:val="22"/>
                <w:lang w:val="en-US" w:eastAsia="es-MX"/>
              </w:rPr>
              <w:t xml:space="preserve"> (6) (7)</w:t>
            </w:r>
          </w:p>
        </w:tc>
        <w:tc>
          <w:tcPr>
            <w:tcW w:w="22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539B3FD9"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76.708</w:t>
            </w:r>
          </w:p>
        </w:tc>
        <w:tc>
          <w:tcPr>
            <w:tcW w:w="261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5ED4DF7"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127.847</w:t>
            </w:r>
          </w:p>
        </w:tc>
      </w:tr>
      <w:tr w:rsidR="006D5952" w:rsidRPr="006D5952" w14:paraId="34ED57C9" w14:textId="77777777" w:rsidTr="006D5952">
        <w:trPr>
          <w:trHeight w:val="300"/>
        </w:trPr>
        <w:tc>
          <w:tcPr>
            <w:tcW w:w="449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08EEFE" w14:textId="77777777" w:rsidR="006D5952" w:rsidRPr="006D5952" w:rsidRDefault="006D5952" w:rsidP="006D5952">
            <w:pPr>
              <w:spacing w:after="0"/>
              <w:contextualSpacing w:val="0"/>
              <w:outlineLvl w:val="0"/>
              <w:rPr>
                <w:rFonts w:eastAsia="Times New Roman" w:cs="Calibri"/>
                <w:sz w:val="22"/>
                <w:lang w:eastAsia="es-MX"/>
              </w:rPr>
            </w:pPr>
            <w:r w:rsidRPr="006D5952">
              <w:rPr>
                <w:rFonts w:eastAsia="Times New Roman" w:cs="Calibri"/>
                <w:sz w:val="22"/>
                <w:lang w:eastAsia="es-MX"/>
              </w:rPr>
              <w:t xml:space="preserve">Ramal Z. </w:t>
            </w:r>
            <w:proofErr w:type="spellStart"/>
            <w:r w:rsidRPr="006D5952">
              <w:rPr>
                <w:rFonts w:eastAsia="Times New Roman" w:cs="Calibri"/>
                <w:sz w:val="22"/>
                <w:lang w:eastAsia="es-MX"/>
              </w:rPr>
              <w:t>Ind</w:t>
            </w:r>
            <w:proofErr w:type="spellEnd"/>
            <w:r w:rsidRPr="006D5952">
              <w:rPr>
                <w:rFonts w:eastAsia="Times New Roman" w:cs="Calibri"/>
                <w:sz w:val="22"/>
                <w:lang w:eastAsia="es-MX"/>
              </w:rPr>
              <w:t>. Cantagallo - San Pablo (7)</w:t>
            </w:r>
          </w:p>
        </w:tc>
        <w:tc>
          <w:tcPr>
            <w:tcW w:w="2235"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CC5454A"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2.371.741</w:t>
            </w:r>
          </w:p>
        </w:tc>
        <w:tc>
          <w:tcPr>
            <w:tcW w:w="2614"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FFF881"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3.952.902</w:t>
            </w:r>
          </w:p>
        </w:tc>
      </w:tr>
      <w:tr w:rsidR="006D5952" w:rsidRPr="006D5952" w14:paraId="453D43C8" w14:textId="77777777" w:rsidTr="006D5952">
        <w:trPr>
          <w:trHeight w:val="300"/>
        </w:trPr>
        <w:tc>
          <w:tcPr>
            <w:tcW w:w="4497" w:type="dxa"/>
            <w:tcBorders>
              <w:top w:val="single" w:sz="4" w:space="0" w:color="A5A5A5"/>
              <w:left w:val="single" w:sz="4" w:space="0" w:color="A5A5A5"/>
              <w:bottom w:val="single" w:sz="4" w:space="0" w:color="A5A5A5"/>
              <w:right w:val="single" w:sz="4" w:space="0" w:color="A5A5A5"/>
            </w:tcBorders>
            <w:shd w:val="clear" w:color="EDEDED" w:fill="EDEDED"/>
            <w:noWrap/>
            <w:vAlign w:val="center"/>
            <w:hideMark/>
          </w:tcPr>
          <w:p w14:paraId="104D9B94" w14:textId="77777777" w:rsidR="006D5952" w:rsidRPr="006D5952" w:rsidRDefault="006D5952" w:rsidP="006D5952">
            <w:pPr>
              <w:spacing w:after="0"/>
              <w:contextualSpacing w:val="0"/>
              <w:outlineLvl w:val="0"/>
              <w:rPr>
                <w:rFonts w:eastAsia="Times New Roman" w:cs="Calibri"/>
                <w:sz w:val="22"/>
                <w:lang w:eastAsia="es-MX"/>
              </w:rPr>
            </w:pPr>
            <w:r w:rsidRPr="006D5952">
              <w:rPr>
                <w:rFonts w:eastAsia="Times New Roman" w:cs="Calibri"/>
                <w:sz w:val="22"/>
                <w:lang w:eastAsia="es-MX"/>
              </w:rPr>
              <w:t>Total</w:t>
            </w:r>
          </w:p>
        </w:tc>
        <w:tc>
          <w:tcPr>
            <w:tcW w:w="2235"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0C564347"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2.963.503</w:t>
            </w:r>
          </w:p>
        </w:tc>
        <w:tc>
          <w:tcPr>
            <w:tcW w:w="2614" w:type="dxa"/>
            <w:tcBorders>
              <w:top w:val="single" w:sz="4" w:space="0" w:color="A5A5A5"/>
              <w:left w:val="single" w:sz="4" w:space="0" w:color="A5A5A5"/>
              <w:bottom w:val="single" w:sz="4" w:space="0" w:color="A5A5A5"/>
              <w:right w:val="single" w:sz="4" w:space="0" w:color="A5A5A5"/>
            </w:tcBorders>
            <w:shd w:val="clear" w:color="EDEDED" w:fill="EDEDED"/>
            <w:noWrap/>
            <w:vAlign w:val="bottom"/>
            <w:hideMark/>
          </w:tcPr>
          <w:p w14:paraId="645FAB58" w14:textId="77777777" w:rsidR="006D5952" w:rsidRPr="006D5952" w:rsidRDefault="006D5952" w:rsidP="006D5952">
            <w:pPr>
              <w:spacing w:after="0"/>
              <w:contextualSpacing w:val="0"/>
              <w:jc w:val="right"/>
              <w:outlineLvl w:val="0"/>
              <w:rPr>
                <w:rFonts w:eastAsia="Times New Roman" w:cs="Calibri"/>
                <w:sz w:val="22"/>
                <w:lang w:eastAsia="es-MX"/>
              </w:rPr>
            </w:pPr>
            <w:r w:rsidRPr="006D5952">
              <w:rPr>
                <w:rFonts w:eastAsia="Times New Roman" w:cs="Calibri"/>
                <w:sz w:val="22"/>
                <w:lang w:eastAsia="es-MX"/>
              </w:rPr>
              <w:t>4.939.173</w:t>
            </w:r>
          </w:p>
        </w:tc>
      </w:tr>
      <w:tr w:rsidR="006D5952" w:rsidRPr="006D5952" w14:paraId="7E3CC587" w14:textId="77777777" w:rsidTr="00785CB2">
        <w:trPr>
          <w:trHeight w:val="300"/>
        </w:trPr>
        <w:tc>
          <w:tcPr>
            <w:tcW w:w="9346" w:type="dxa"/>
            <w:gridSpan w:val="3"/>
            <w:tcBorders>
              <w:top w:val="single" w:sz="4" w:space="0" w:color="BFBFBF"/>
              <w:left w:val="single" w:sz="4" w:space="0" w:color="BFBFBF"/>
              <w:bottom w:val="nil"/>
              <w:right w:val="single" w:sz="4" w:space="0" w:color="BFBFBF"/>
            </w:tcBorders>
            <w:shd w:val="clear" w:color="auto" w:fill="auto"/>
            <w:noWrap/>
            <w:vAlign w:val="center"/>
            <w:hideMark/>
          </w:tcPr>
          <w:p w14:paraId="722E88A3" w14:textId="1EBA48D6" w:rsidR="006D5952" w:rsidRPr="006D5952" w:rsidRDefault="006D5952" w:rsidP="006D5952">
            <w:pPr>
              <w:spacing w:after="0"/>
              <w:contextualSpacing w:val="0"/>
              <w:outlineLvl w:val="0"/>
              <w:rPr>
                <w:rFonts w:ascii="Times New Roman" w:eastAsia="Times New Roman" w:hAnsi="Times New Roman" w:cs="Times New Roman"/>
                <w:sz w:val="20"/>
                <w:szCs w:val="20"/>
                <w:lang w:eastAsia="es-MX"/>
              </w:rPr>
            </w:pPr>
            <w:r w:rsidRPr="006D5952">
              <w:rPr>
                <w:rFonts w:eastAsia="Times New Roman" w:cs="Calibri"/>
                <w:sz w:val="22"/>
                <w:lang w:eastAsia="es-MX"/>
              </w:rPr>
              <w:t xml:space="preserve"> [1] USD de diciembre 31 de 2009</w:t>
            </w:r>
          </w:p>
        </w:tc>
      </w:tr>
    </w:tbl>
    <w:p w14:paraId="48E851BF" w14:textId="77777777" w:rsidR="00495F0E" w:rsidRDefault="00495F0E" w:rsidP="00495F0E">
      <w:pPr>
        <w:rPr>
          <w:lang w:val="es-ES" w:eastAsia="es-ES"/>
        </w:rPr>
      </w:pPr>
    </w:p>
    <w:p w14:paraId="537C034B" w14:textId="34352C03" w:rsidR="00495F0E" w:rsidRPr="00C22BAB" w:rsidRDefault="00C13D4B" w:rsidP="00A60F17">
      <w:pPr>
        <w:pStyle w:val="Tit1"/>
        <w:numPr>
          <w:ilvl w:val="1"/>
          <w:numId w:val="7"/>
        </w:numPr>
        <w:ind w:hanging="792"/>
        <w:jc w:val="both"/>
      </w:pPr>
      <w:r w:rsidRPr="00C22BAB">
        <w:lastRenderedPageBreak/>
        <w:t xml:space="preserve">Revisión </w:t>
      </w:r>
      <w:r w:rsidR="00495F0E" w:rsidRPr="00C22BAB">
        <w:t>sobre la solicitud de</w:t>
      </w:r>
      <w:r w:rsidRPr="00C22BAB">
        <w:t xml:space="preserve"> TGI</w:t>
      </w:r>
      <w:r w:rsidR="00495F0E" w:rsidRPr="00C22BAB">
        <w:t xml:space="preserve"> </w:t>
      </w:r>
      <w:r w:rsidRPr="00C22BAB">
        <w:t xml:space="preserve">modificación por mutuo acuerdo de los cargos existentes para los ramales Florián, Albania, </w:t>
      </w:r>
      <w:proofErr w:type="spellStart"/>
      <w:r w:rsidRPr="00C22BAB">
        <w:t>Tununguá</w:t>
      </w:r>
      <w:proofErr w:type="spellEnd"/>
      <w:r w:rsidRPr="00C22BAB">
        <w:t>, Briceño y el tramo remanente de 22” entre la válvula VC 11 B y Sucre Oriental</w:t>
      </w:r>
    </w:p>
    <w:p w14:paraId="6C4B6292" w14:textId="77777777" w:rsidR="00695DDC" w:rsidRPr="000E5CB5" w:rsidRDefault="00695DDC" w:rsidP="00695DDC">
      <w:pPr>
        <w:rPr>
          <w:lang w:eastAsia="es-ES"/>
        </w:rPr>
      </w:pPr>
    </w:p>
    <w:p w14:paraId="47E1206C" w14:textId="00512787" w:rsidR="0069421E" w:rsidRDefault="00290ECA" w:rsidP="00B311D9">
      <w:pPr>
        <w:jc w:val="both"/>
        <w:rPr>
          <w:rFonts w:eastAsia="Times New Roman" w:cs="Arial"/>
          <w:color w:val="000000" w:themeColor="text1"/>
          <w:spacing w:val="-3"/>
          <w:szCs w:val="24"/>
          <w:lang w:val="es-ES" w:eastAsia="es-ES"/>
        </w:rPr>
      </w:pPr>
      <w:r w:rsidRPr="002438F8">
        <w:rPr>
          <w:lang w:val="es-ES" w:eastAsia="es-ES"/>
        </w:rPr>
        <w:t>Respecto a esta solicitud</w:t>
      </w:r>
      <w:r w:rsidR="0069421E">
        <w:rPr>
          <w:lang w:val="es-ES" w:eastAsia="es-ES"/>
        </w:rPr>
        <w:t>,</w:t>
      </w:r>
      <w:r w:rsidRPr="002438F8">
        <w:rPr>
          <w:lang w:val="es-ES" w:eastAsia="es-ES"/>
        </w:rPr>
        <w:t xml:space="preserve"> </w:t>
      </w:r>
      <w:r w:rsidR="004D6C8D">
        <w:rPr>
          <w:lang w:val="es-ES" w:eastAsia="es-ES"/>
        </w:rPr>
        <w:t>se consideró</w:t>
      </w:r>
      <w:r w:rsidR="00370FC9">
        <w:rPr>
          <w:lang w:val="es-ES" w:eastAsia="es-ES"/>
        </w:rPr>
        <w:t xml:space="preserve"> procedente rechazarl</w:t>
      </w:r>
      <w:r w:rsidR="006F4725">
        <w:rPr>
          <w:lang w:val="es-ES" w:eastAsia="es-ES"/>
        </w:rPr>
        <w:t>a</w:t>
      </w:r>
      <w:r w:rsidRPr="002438F8">
        <w:rPr>
          <w:lang w:val="es-ES" w:eastAsia="es-ES"/>
        </w:rPr>
        <w:t xml:space="preserve"> </w:t>
      </w:r>
      <w:r w:rsidR="00131514" w:rsidRPr="002438F8">
        <w:rPr>
          <w:rFonts w:eastAsia="Times New Roman" w:cs="Arial"/>
          <w:color w:val="000000" w:themeColor="text1"/>
          <w:spacing w:val="-3"/>
          <w:szCs w:val="24"/>
          <w:lang w:val="es-ES" w:eastAsia="es-ES"/>
        </w:rPr>
        <w:t xml:space="preserve">acorde </w:t>
      </w:r>
      <w:r w:rsidR="00370FC9">
        <w:rPr>
          <w:rFonts w:eastAsia="Times New Roman" w:cs="Arial"/>
          <w:color w:val="000000" w:themeColor="text1"/>
          <w:spacing w:val="-3"/>
          <w:szCs w:val="24"/>
          <w:lang w:val="es-ES" w:eastAsia="es-ES"/>
        </w:rPr>
        <w:t>con</w:t>
      </w:r>
      <w:r w:rsidR="00641AF3" w:rsidRPr="002438F8">
        <w:rPr>
          <w:rFonts w:eastAsia="Times New Roman" w:cs="Arial"/>
          <w:color w:val="000000" w:themeColor="text1"/>
          <w:spacing w:val="-3"/>
          <w:szCs w:val="24"/>
          <w:lang w:val="es-ES" w:eastAsia="es-ES"/>
        </w:rPr>
        <w:t xml:space="preserve"> </w:t>
      </w:r>
      <w:r w:rsidR="00131514" w:rsidRPr="002438F8">
        <w:rPr>
          <w:rFonts w:eastAsia="Times New Roman" w:cs="Arial"/>
          <w:color w:val="000000" w:themeColor="text1"/>
          <w:spacing w:val="-3"/>
          <w:szCs w:val="24"/>
          <w:lang w:val="es-ES" w:eastAsia="es-ES"/>
        </w:rPr>
        <w:t xml:space="preserve">la nota 1) del anexo 1 </w:t>
      </w:r>
      <w:r w:rsidR="00641AF3" w:rsidRPr="002438F8">
        <w:rPr>
          <w:rFonts w:eastAsia="Times New Roman" w:cs="Arial"/>
          <w:color w:val="000000" w:themeColor="text1"/>
          <w:spacing w:val="-3"/>
          <w:szCs w:val="24"/>
          <w:lang w:val="es-ES" w:eastAsia="es-ES"/>
        </w:rPr>
        <w:t>de la Resolución CREG 099</w:t>
      </w:r>
      <w:r w:rsidR="008D0A8C">
        <w:rPr>
          <w:rFonts w:eastAsia="Times New Roman" w:cs="Arial"/>
          <w:color w:val="000000" w:themeColor="text1"/>
          <w:spacing w:val="-3"/>
          <w:szCs w:val="24"/>
          <w:lang w:val="es-ES" w:eastAsia="es-ES"/>
        </w:rPr>
        <w:t xml:space="preserve"> de 2021</w:t>
      </w:r>
      <w:r w:rsidR="0069421E">
        <w:rPr>
          <w:rFonts w:eastAsia="Times New Roman" w:cs="Arial"/>
          <w:color w:val="000000" w:themeColor="text1"/>
          <w:spacing w:val="-3"/>
          <w:szCs w:val="24"/>
          <w:lang w:val="es-ES" w:eastAsia="es-ES"/>
        </w:rPr>
        <w:t>, en la cual se</w:t>
      </w:r>
      <w:r w:rsidR="00641AF3" w:rsidRPr="002438F8">
        <w:rPr>
          <w:rFonts w:eastAsia="Times New Roman" w:cs="Arial"/>
          <w:color w:val="000000" w:themeColor="text1"/>
          <w:spacing w:val="-3"/>
          <w:szCs w:val="24"/>
          <w:lang w:val="es-ES" w:eastAsia="es-ES"/>
        </w:rPr>
        <w:t xml:space="preserve"> </w:t>
      </w:r>
      <w:r w:rsidR="00131514" w:rsidRPr="002438F8">
        <w:rPr>
          <w:rFonts w:eastAsia="Times New Roman" w:cs="Arial"/>
          <w:color w:val="000000" w:themeColor="text1"/>
          <w:spacing w:val="-3"/>
          <w:szCs w:val="24"/>
          <w:lang w:val="es-ES" w:eastAsia="es-ES"/>
        </w:rPr>
        <w:t>señala que</w:t>
      </w:r>
      <w:r w:rsidR="0069421E">
        <w:rPr>
          <w:rFonts w:eastAsia="Times New Roman" w:cs="Arial"/>
          <w:color w:val="000000" w:themeColor="text1"/>
          <w:spacing w:val="-3"/>
          <w:szCs w:val="24"/>
          <w:lang w:val="es-ES" w:eastAsia="es-ES"/>
        </w:rPr>
        <w:t>:</w:t>
      </w:r>
    </w:p>
    <w:p w14:paraId="0BAF252C" w14:textId="77777777" w:rsidR="00890D32" w:rsidRDefault="00890D32" w:rsidP="00B311D9">
      <w:pPr>
        <w:jc w:val="both"/>
        <w:rPr>
          <w:rFonts w:eastAsia="Times New Roman" w:cs="Arial"/>
          <w:color w:val="000000" w:themeColor="text1"/>
          <w:spacing w:val="-3"/>
          <w:szCs w:val="24"/>
          <w:lang w:val="es-ES" w:eastAsia="es-ES"/>
        </w:rPr>
      </w:pPr>
    </w:p>
    <w:p w14:paraId="3B2A0734" w14:textId="22AE65D3" w:rsidR="00C52666" w:rsidRDefault="00131514" w:rsidP="008D0A8C">
      <w:pPr>
        <w:ind w:left="708"/>
        <w:jc w:val="both"/>
        <w:rPr>
          <w:lang w:val="es-ES" w:eastAsia="es-ES"/>
        </w:rPr>
      </w:pPr>
      <w:r w:rsidRPr="002438F8">
        <w:rPr>
          <w:rFonts w:eastAsia="Times New Roman" w:cs="Arial"/>
          <w:color w:val="000000" w:themeColor="text1"/>
          <w:spacing w:val="-3"/>
          <w:szCs w:val="24"/>
          <w:lang w:val="es-ES" w:eastAsia="es-ES"/>
        </w:rPr>
        <w:t>“</w:t>
      </w:r>
      <w:r w:rsidRPr="002438F8">
        <w:rPr>
          <w:rFonts w:eastAsia="Times New Roman" w:cs="Arial"/>
          <w:i/>
          <w:iCs/>
          <w:color w:val="000000" w:themeColor="text1"/>
          <w:spacing w:val="-3"/>
          <w:sz w:val="22"/>
          <w:lang w:val="es-ES" w:eastAsia="es-ES"/>
        </w:rPr>
        <w:t>Se consideró el valor VRAN del tramo existente como un valor indicativo debido a que estos gasoductos en caso de reemplazarse deben iniciar un proceso como nuevos activos por tanto solo se aplica un valor VAO</w:t>
      </w:r>
      <w:r w:rsidRPr="002438F8">
        <w:rPr>
          <w:rFonts w:eastAsia="Times New Roman" w:cs="Arial"/>
          <w:color w:val="000000" w:themeColor="text1"/>
          <w:spacing w:val="-3"/>
          <w:szCs w:val="24"/>
          <w:lang w:val="es-ES" w:eastAsia="es-ES"/>
        </w:rPr>
        <w:t>”</w:t>
      </w:r>
    </w:p>
    <w:p w14:paraId="09AEADDC" w14:textId="77777777" w:rsidR="008147C4" w:rsidRDefault="008147C4" w:rsidP="00C52666">
      <w:pPr>
        <w:jc w:val="both"/>
        <w:rPr>
          <w:lang w:val="es-ES" w:eastAsia="es-ES"/>
        </w:rPr>
      </w:pPr>
    </w:p>
    <w:p w14:paraId="2C14DBA9" w14:textId="76E642EE" w:rsidR="004C729A" w:rsidRDefault="008147C4" w:rsidP="00C52666">
      <w:pPr>
        <w:jc w:val="both"/>
        <w:rPr>
          <w:lang w:val="es-ES" w:eastAsia="es-ES"/>
        </w:rPr>
      </w:pPr>
      <w:r>
        <w:rPr>
          <w:lang w:val="es-ES" w:eastAsia="es-ES"/>
        </w:rPr>
        <w:t>Adicionalmente, es preciso</w:t>
      </w:r>
      <w:r w:rsidR="00290ECA" w:rsidRPr="002438F8">
        <w:rPr>
          <w:lang w:val="es-ES" w:eastAsia="es-ES"/>
        </w:rPr>
        <w:t xml:space="preserve"> señalar que</w:t>
      </w:r>
      <w:r w:rsidR="004B6A7D">
        <w:rPr>
          <w:lang w:val="es-ES" w:eastAsia="es-ES"/>
        </w:rPr>
        <w:t>,</w:t>
      </w:r>
      <w:r w:rsidR="00290ECA" w:rsidRPr="002438F8">
        <w:rPr>
          <w:lang w:val="es-ES" w:eastAsia="es-ES"/>
        </w:rPr>
        <w:t xml:space="preserve"> </w:t>
      </w:r>
      <w:r w:rsidR="00201918" w:rsidRPr="002438F8">
        <w:rPr>
          <w:lang w:val="es-ES" w:eastAsia="es-ES"/>
        </w:rPr>
        <w:t xml:space="preserve">en caso de reemplazarse </w:t>
      </w:r>
      <w:r w:rsidR="00290ECA" w:rsidRPr="002438F8">
        <w:rPr>
          <w:lang w:val="es-ES" w:eastAsia="es-ES"/>
        </w:rPr>
        <w:t>estos activos</w:t>
      </w:r>
      <w:r w:rsidR="004B6A7D">
        <w:rPr>
          <w:lang w:val="es-ES" w:eastAsia="es-ES"/>
        </w:rPr>
        <w:t>,</w:t>
      </w:r>
      <w:r w:rsidR="00290ECA" w:rsidRPr="002438F8">
        <w:rPr>
          <w:lang w:val="es-ES" w:eastAsia="es-ES"/>
        </w:rPr>
        <w:t xml:space="preserve"> deben ser declarados en la solicitud de cargos </w:t>
      </w:r>
      <w:r w:rsidR="004B6A7D">
        <w:rPr>
          <w:lang w:val="es-ES" w:eastAsia="es-ES"/>
        </w:rPr>
        <w:t>conforme</w:t>
      </w:r>
      <w:r w:rsidR="004B6A7D" w:rsidRPr="002438F8">
        <w:rPr>
          <w:lang w:val="es-ES" w:eastAsia="es-ES"/>
        </w:rPr>
        <w:t xml:space="preserve"> </w:t>
      </w:r>
      <w:r w:rsidR="00290ECA" w:rsidRPr="002438F8">
        <w:rPr>
          <w:lang w:val="es-ES" w:eastAsia="es-ES"/>
        </w:rPr>
        <w:t>a la Resolución CREG 175 de 2021</w:t>
      </w:r>
      <w:r w:rsidR="007460A0">
        <w:rPr>
          <w:lang w:val="es-ES" w:eastAsia="es-ES"/>
        </w:rPr>
        <w:t>,</w:t>
      </w:r>
      <w:r w:rsidR="00290ECA" w:rsidRPr="002438F8">
        <w:rPr>
          <w:lang w:val="es-ES" w:eastAsia="es-ES"/>
        </w:rPr>
        <w:t xml:space="preserve"> </w:t>
      </w:r>
      <w:r w:rsidR="00CA7E81" w:rsidRPr="002438F8">
        <w:rPr>
          <w:lang w:val="es-ES" w:eastAsia="es-ES"/>
        </w:rPr>
        <w:t>adjuntado la información respectiva para ser tratados como nuevos activos</w:t>
      </w:r>
      <w:r w:rsidR="000E5CB5">
        <w:rPr>
          <w:lang w:val="es-ES" w:eastAsia="es-ES"/>
        </w:rPr>
        <w:t>,</w:t>
      </w:r>
      <w:r w:rsidR="007460A0">
        <w:rPr>
          <w:lang w:val="es-ES" w:eastAsia="es-ES"/>
        </w:rPr>
        <w:t xml:space="preserve"> y </w:t>
      </w:r>
      <w:r w:rsidR="00CA7E81" w:rsidRPr="002438F8">
        <w:rPr>
          <w:lang w:val="es-ES" w:eastAsia="es-ES"/>
        </w:rPr>
        <w:t xml:space="preserve">surtir el proceso de valoración y análisis </w:t>
      </w:r>
      <w:r w:rsidR="00CA7E81" w:rsidRPr="002B7C99">
        <w:rPr>
          <w:lang w:val="es-ES" w:eastAsia="es-ES"/>
        </w:rPr>
        <w:t>previsto</w:t>
      </w:r>
      <w:r w:rsidR="007460A0" w:rsidRPr="002B7C99">
        <w:rPr>
          <w:lang w:val="es-ES" w:eastAsia="es-ES"/>
        </w:rPr>
        <w:t xml:space="preserve"> en la mencionada resolución</w:t>
      </w:r>
      <w:r w:rsidR="00EC61D7">
        <w:rPr>
          <w:lang w:val="es-ES" w:eastAsia="es-ES"/>
        </w:rPr>
        <w:t>.</w:t>
      </w:r>
    </w:p>
    <w:p w14:paraId="41123C55" w14:textId="77777777" w:rsidR="00113B91" w:rsidRDefault="00D0349B" w:rsidP="00A60F17">
      <w:pPr>
        <w:pStyle w:val="Tit1"/>
        <w:numPr>
          <w:ilvl w:val="1"/>
          <w:numId w:val="7"/>
        </w:numPr>
        <w:ind w:hanging="792"/>
        <w:jc w:val="both"/>
      </w:pPr>
      <w:r>
        <w:t xml:space="preserve"> Actualización de los cargos incluyendo los valores VAO aprobados mediante la Resolución CREG 099 de 2021 y </w:t>
      </w:r>
      <w:r w:rsidR="00113B91">
        <w:t>valores a retirar aprobados mediante la Resolución CREG 231 de 2021.</w:t>
      </w:r>
    </w:p>
    <w:p w14:paraId="7DFFB61C" w14:textId="77777777" w:rsidR="00113B91" w:rsidRDefault="00113B91" w:rsidP="001F02A2"/>
    <w:p w14:paraId="4BEB84F1" w14:textId="3C1ED56F" w:rsidR="00EF0AFF" w:rsidRDefault="005738F9" w:rsidP="005738F9">
      <w:pPr>
        <w:spacing w:after="0"/>
        <w:jc w:val="both"/>
        <w:rPr>
          <w:rFonts w:eastAsia="Times New Roman" w:cs="Arial"/>
          <w:color w:val="000000" w:themeColor="text1"/>
          <w:spacing w:val="-3"/>
          <w:szCs w:val="24"/>
          <w:lang w:val="es-ES" w:eastAsia="es-ES"/>
        </w:rPr>
      </w:pPr>
      <w:r w:rsidRPr="005738F9">
        <w:rPr>
          <w:rFonts w:eastAsia="Times New Roman" w:cs="Arial"/>
          <w:color w:val="000000" w:themeColor="text1"/>
          <w:spacing w:val="-3"/>
          <w:szCs w:val="24"/>
          <w:lang w:val="es-ES" w:eastAsia="es-ES"/>
        </w:rPr>
        <w:t xml:space="preserve">En atención a la disposición </w:t>
      </w:r>
      <w:r w:rsidR="00D41EBB">
        <w:rPr>
          <w:rFonts w:eastAsia="Times New Roman" w:cs="Arial"/>
          <w:color w:val="000000" w:themeColor="text1"/>
          <w:spacing w:val="-3"/>
          <w:szCs w:val="24"/>
          <w:lang w:val="es-ES" w:eastAsia="es-ES"/>
        </w:rPr>
        <w:t>descrita en el</w:t>
      </w:r>
      <w:r w:rsidR="003C3AB7">
        <w:rPr>
          <w:rFonts w:eastAsia="Times New Roman" w:cs="Arial"/>
          <w:color w:val="000000" w:themeColor="text1"/>
          <w:spacing w:val="-3"/>
          <w:szCs w:val="24"/>
          <w:lang w:val="es-ES" w:eastAsia="es-ES"/>
        </w:rPr>
        <w:t xml:space="preserve"> artículo 7 de la </w:t>
      </w:r>
      <w:r w:rsidR="003C3AB7" w:rsidRPr="00D872D7">
        <w:rPr>
          <w:rFonts w:eastAsia="Times New Roman" w:cs="Arial"/>
          <w:color w:val="000000" w:themeColor="text1"/>
          <w:spacing w:val="-3"/>
          <w:szCs w:val="24"/>
          <w:lang w:val="es-ES" w:eastAsia="es-ES"/>
        </w:rPr>
        <w:t>Resolución CREG 175 de 2021</w:t>
      </w:r>
      <w:r w:rsidRPr="005738F9">
        <w:rPr>
          <w:rFonts w:eastAsia="Times New Roman" w:cs="Arial"/>
          <w:color w:val="000000" w:themeColor="text1"/>
          <w:spacing w:val="-3"/>
          <w:szCs w:val="24"/>
          <w:lang w:val="es-ES" w:eastAsia="es-ES"/>
        </w:rPr>
        <w:t>,</w:t>
      </w:r>
      <w:r w:rsidR="003C3AB7">
        <w:rPr>
          <w:rFonts w:eastAsia="Times New Roman" w:cs="Arial"/>
          <w:color w:val="000000" w:themeColor="text1"/>
          <w:spacing w:val="-3"/>
          <w:szCs w:val="24"/>
          <w:lang w:val="es-ES" w:eastAsia="es-ES"/>
        </w:rPr>
        <w:t xml:space="preserve"> modificada mediante la</w:t>
      </w:r>
      <w:r w:rsidR="00877933">
        <w:rPr>
          <w:rFonts w:eastAsia="Times New Roman" w:cs="Arial"/>
          <w:color w:val="000000" w:themeColor="text1"/>
          <w:spacing w:val="-3"/>
          <w:szCs w:val="24"/>
          <w:lang w:val="es-ES" w:eastAsia="es-ES"/>
        </w:rPr>
        <w:t>s</w:t>
      </w:r>
      <w:r w:rsidR="003C3AB7">
        <w:rPr>
          <w:rFonts w:eastAsia="Times New Roman" w:cs="Arial"/>
          <w:color w:val="000000" w:themeColor="text1"/>
          <w:spacing w:val="-3"/>
          <w:szCs w:val="24"/>
          <w:lang w:val="es-ES" w:eastAsia="es-ES"/>
        </w:rPr>
        <w:t xml:space="preserve"> Resoluci</w:t>
      </w:r>
      <w:r w:rsidR="00877933">
        <w:rPr>
          <w:rFonts w:eastAsia="Times New Roman" w:cs="Arial"/>
          <w:color w:val="000000" w:themeColor="text1"/>
          <w:spacing w:val="-3"/>
          <w:szCs w:val="24"/>
          <w:lang w:val="es-ES" w:eastAsia="es-ES"/>
        </w:rPr>
        <w:t>o</w:t>
      </w:r>
      <w:r w:rsidR="003C3AB7">
        <w:rPr>
          <w:rFonts w:eastAsia="Times New Roman" w:cs="Arial"/>
          <w:color w:val="000000" w:themeColor="text1"/>
          <w:spacing w:val="-3"/>
          <w:szCs w:val="24"/>
          <w:lang w:val="es-ES" w:eastAsia="es-ES"/>
        </w:rPr>
        <w:t>n</w:t>
      </w:r>
      <w:r w:rsidR="00877933">
        <w:rPr>
          <w:rFonts w:eastAsia="Times New Roman" w:cs="Arial"/>
          <w:color w:val="000000" w:themeColor="text1"/>
          <w:spacing w:val="-3"/>
          <w:szCs w:val="24"/>
          <w:lang w:val="es-ES" w:eastAsia="es-ES"/>
        </w:rPr>
        <w:t>es</w:t>
      </w:r>
      <w:r w:rsidR="003C3AB7">
        <w:rPr>
          <w:rFonts w:eastAsia="Times New Roman" w:cs="Arial"/>
          <w:color w:val="000000" w:themeColor="text1"/>
          <w:spacing w:val="-3"/>
          <w:szCs w:val="24"/>
          <w:lang w:val="es-ES" w:eastAsia="es-ES"/>
        </w:rPr>
        <w:t xml:space="preserve"> CREG 102 00</w:t>
      </w:r>
      <w:r w:rsidR="00A13DC2">
        <w:rPr>
          <w:rFonts w:eastAsia="Times New Roman" w:cs="Arial"/>
          <w:color w:val="000000" w:themeColor="text1"/>
          <w:spacing w:val="-3"/>
          <w:szCs w:val="24"/>
          <w:lang w:val="es-ES" w:eastAsia="es-ES"/>
        </w:rPr>
        <w:t>5</w:t>
      </w:r>
      <w:r w:rsidR="00333B65">
        <w:rPr>
          <w:rFonts w:eastAsia="Times New Roman" w:cs="Arial"/>
          <w:color w:val="000000" w:themeColor="text1"/>
          <w:spacing w:val="-3"/>
          <w:szCs w:val="24"/>
          <w:lang w:val="es-ES" w:eastAsia="es-ES"/>
        </w:rPr>
        <w:t>,</w:t>
      </w:r>
      <w:r w:rsidR="00A13DC2">
        <w:rPr>
          <w:rFonts w:eastAsia="Times New Roman" w:cs="Arial"/>
          <w:color w:val="000000" w:themeColor="text1"/>
          <w:spacing w:val="-3"/>
          <w:szCs w:val="24"/>
          <w:lang w:val="es-ES" w:eastAsia="es-ES"/>
        </w:rPr>
        <w:t xml:space="preserve"> 102 00</w:t>
      </w:r>
      <w:r w:rsidR="003C3AB7">
        <w:rPr>
          <w:rFonts w:eastAsia="Times New Roman" w:cs="Arial"/>
          <w:color w:val="000000" w:themeColor="text1"/>
          <w:spacing w:val="-3"/>
          <w:szCs w:val="24"/>
          <w:lang w:val="es-ES" w:eastAsia="es-ES"/>
        </w:rPr>
        <w:t xml:space="preserve">6 </w:t>
      </w:r>
      <w:r w:rsidR="00EF2554">
        <w:rPr>
          <w:rFonts w:eastAsia="Times New Roman" w:cs="Arial"/>
          <w:color w:val="000000" w:themeColor="text1"/>
          <w:spacing w:val="-3"/>
          <w:szCs w:val="24"/>
          <w:lang w:val="es-ES" w:eastAsia="es-ES"/>
        </w:rPr>
        <w:t>y 102 010 de 2022</w:t>
      </w:r>
      <w:r w:rsidR="003F5B87">
        <w:rPr>
          <w:rFonts w:eastAsia="Times New Roman" w:cs="Arial"/>
          <w:color w:val="000000" w:themeColor="text1"/>
          <w:spacing w:val="-3"/>
          <w:szCs w:val="24"/>
          <w:lang w:val="es-ES" w:eastAsia="es-ES"/>
        </w:rPr>
        <w:t>, tal como se describe en los antecedentes del presente acto</w:t>
      </w:r>
      <w:r w:rsidR="00A96F28">
        <w:rPr>
          <w:rFonts w:eastAsia="Times New Roman" w:cs="Arial"/>
          <w:color w:val="000000" w:themeColor="text1"/>
          <w:spacing w:val="-3"/>
          <w:szCs w:val="24"/>
          <w:lang w:val="es-ES" w:eastAsia="es-ES"/>
        </w:rPr>
        <w:t>,</w:t>
      </w:r>
      <w:r w:rsidR="003F5B87">
        <w:rPr>
          <w:rFonts w:eastAsia="Times New Roman" w:cs="Arial"/>
          <w:color w:val="000000" w:themeColor="text1"/>
          <w:spacing w:val="-3"/>
          <w:szCs w:val="24"/>
          <w:lang w:val="es-ES" w:eastAsia="es-ES"/>
        </w:rPr>
        <w:t xml:space="preserve"> </w:t>
      </w:r>
      <w:r w:rsidRPr="005738F9">
        <w:rPr>
          <w:rFonts w:eastAsia="Times New Roman" w:cs="Arial"/>
          <w:color w:val="000000" w:themeColor="text1"/>
          <w:spacing w:val="-3"/>
          <w:szCs w:val="24"/>
          <w:lang w:val="es-ES" w:eastAsia="es-ES"/>
        </w:rPr>
        <w:t xml:space="preserve">la actualización de los cargos de </w:t>
      </w:r>
      <w:r w:rsidR="003E36A9">
        <w:rPr>
          <w:rFonts w:eastAsia="Times New Roman" w:cs="Arial"/>
          <w:color w:val="000000" w:themeColor="text1"/>
          <w:spacing w:val="-3"/>
          <w:szCs w:val="24"/>
          <w:lang w:val="es-ES" w:eastAsia="es-ES"/>
        </w:rPr>
        <w:t>TGI</w:t>
      </w:r>
      <w:r w:rsidR="00A96F28">
        <w:rPr>
          <w:rFonts w:eastAsia="Times New Roman" w:cs="Arial"/>
          <w:color w:val="000000" w:themeColor="text1"/>
          <w:spacing w:val="-3"/>
          <w:szCs w:val="24"/>
          <w:lang w:val="es-ES" w:eastAsia="es-ES"/>
        </w:rPr>
        <w:t xml:space="preserve"> </w:t>
      </w:r>
      <w:r w:rsidR="004A0671" w:rsidRPr="004A0671">
        <w:rPr>
          <w:rFonts w:eastAsia="Times New Roman" w:cs="Arial"/>
          <w:color w:val="000000" w:themeColor="text1"/>
          <w:spacing w:val="-3"/>
          <w:szCs w:val="24"/>
          <w:lang w:val="es-ES" w:eastAsia="es-ES"/>
        </w:rPr>
        <w:t>se ajustar</w:t>
      </w:r>
      <w:r w:rsidR="004A0671">
        <w:rPr>
          <w:rFonts w:eastAsia="Times New Roman" w:cs="Arial"/>
          <w:color w:val="000000" w:themeColor="text1"/>
          <w:spacing w:val="-3"/>
          <w:szCs w:val="24"/>
          <w:lang w:val="es-ES" w:eastAsia="es-ES"/>
        </w:rPr>
        <w:t>o</w:t>
      </w:r>
      <w:r w:rsidR="004A0671" w:rsidRPr="004A0671">
        <w:rPr>
          <w:rFonts w:eastAsia="Times New Roman" w:cs="Arial"/>
          <w:color w:val="000000" w:themeColor="text1"/>
          <w:spacing w:val="-3"/>
          <w:szCs w:val="24"/>
          <w:lang w:val="es-ES" w:eastAsia="es-ES"/>
        </w:rPr>
        <w:t>n de acuerdo con la metodología que originó la solicitud de valoración de los activos que cumplieron el período de VUN</w:t>
      </w:r>
      <w:r w:rsidR="00391C31" w:rsidRPr="00391C31">
        <w:rPr>
          <w:rFonts w:eastAsia="Times New Roman" w:cs="Arial"/>
          <w:color w:val="000000" w:themeColor="text1"/>
          <w:spacing w:val="-3"/>
          <w:szCs w:val="24"/>
          <w:lang w:val="es-ES" w:eastAsia="es-ES"/>
        </w:rPr>
        <w:t>, considerando la decisión adoptada</w:t>
      </w:r>
      <w:r w:rsidR="0053571E">
        <w:rPr>
          <w:rFonts w:eastAsia="Times New Roman" w:cs="Arial"/>
          <w:color w:val="000000" w:themeColor="text1"/>
          <w:spacing w:val="-3"/>
          <w:szCs w:val="24"/>
          <w:lang w:val="es-ES" w:eastAsia="es-ES"/>
        </w:rPr>
        <w:t xml:space="preserve"> por TGI</w:t>
      </w:r>
      <w:r w:rsidR="00391C31" w:rsidRPr="00391C31">
        <w:rPr>
          <w:rFonts w:eastAsia="Times New Roman" w:cs="Arial"/>
          <w:color w:val="000000" w:themeColor="text1"/>
          <w:spacing w:val="-3"/>
          <w:szCs w:val="24"/>
          <w:lang w:val="es-ES" w:eastAsia="es-ES"/>
        </w:rPr>
        <w:t xml:space="preserve"> con ocasión </w:t>
      </w:r>
      <w:r w:rsidR="00123B03">
        <w:rPr>
          <w:rFonts w:eastAsia="Times New Roman" w:cs="Arial"/>
          <w:color w:val="000000" w:themeColor="text1"/>
          <w:spacing w:val="-3"/>
          <w:szCs w:val="24"/>
          <w:lang w:val="es-ES" w:eastAsia="es-ES"/>
        </w:rPr>
        <w:t>de</w:t>
      </w:r>
      <w:r w:rsidR="00391C31" w:rsidRPr="00391C31">
        <w:rPr>
          <w:rFonts w:eastAsia="Times New Roman" w:cs="Arial"/>
          <w:color w:val="000000" w:themeColor="text1"/>
          <w:spacing w:val="-3"/>
          <w:szCs w:val="24"/>
          <w:lang w:val="es-ES" w:eastAsia="es-ES"/>
        </w:rPr>
        <w:t xml:space="preserve"> la Resolución CREG </w:t>
      </w:r>
      <w:r w:rsidR="003E36A9">
        <w:rPr>
          <w:rFonts w:eastAsia="Times New Roman" w:cs="Arial"/>
          <w:color w:val="000000" w:themeColor="text1"/>
          <w:spacing w:val="-3"/>
          <w:szCs w:val="24"/>
          <w:lang w:val="es-ES" w:eastAsia="es-ES"/>
        </w:rPr>
        <w:t>099</w:t>
      </w:r>
      <w:r w:rsidR="00391C31" w:rsidRPr="00391C31">
        <w:rPr>
          <w:rFonts w:eastAsia="Times New Roman" w:cs="Arial"/>
          <w:color w:val="000000" w:themeColor="text1"/>
          <w:spacing w:val="-3"/>
          <w:szCs w:val="24"/>
          <w:lang w:val="es-ES" w:eastAsia="es-ES"/>
        </w:rPr>
        <w:t xml:space="preserve"> de 2021</w:t>
      </w:r>
      <w:r w:rsidR="00391C31" w:rsidRPr="00391C31" w:rsidDel="0053571E">
        <w:rPr>
          <w:rFonts w:eastAsia="Times New Roman" w:cs="Arial"/>
          <w:color w:val="000000" w:themeColor="text1"/>
          <w:spacing w:val="-3"/>
          <w:szCs w:val="24"/>
          <w:lang w:val="es-ES" w:eastAsia="es-ES"/>
        </w:rPr>
        <w:t xml:space="preserve"> </w:t>
      </w:r>
      <w:r w:rsidR="008C3C87">
        <w:rPr>
          <w:rFonts w:eastAsia="Times New Roman" w:cs="Arial"/>
          <w:color w:val="000000" w:themeColor="text1"/>
          <w:spacing w:val="-3"/>
          <w:szCs w:val="24"/>
          <w:lang w:val="es-ES" w:eastAsia="es-ES"/>
        </w:rPr>
        <w:t>y 231 de 2021</w:t>
      </w:r>
      <w:r w:rsidR="003E36A9">
        <w:rPr>
          <w:rFonts w:eastAsia="Times New Roman" w:cs="Arial"/>
          <w:color w:val="000000" w:themeColor="text1"/>
          <w:spacing w:val="-3"/>
          <w:szCs w:val="24"/>
          <w:lang w:val="es-ES" w:eastAsia="es-ES"/>
        </w:rPr>
        <w:t>.</w:t>
      </w:r>
    </w:p>
    <w:p w14:paraId="3AAE98D3" w14:textId="77777777" w:rsidR="00EF0AFF" w:rsidRDefault="00EF0AFF" w:rsidP="005738F9">
      <w:pPr>
        <w:spacing w:after="0"/>
        <w:jc w:val="both"/>
        <w:rPr>
          <w:rFonts w:eastAsia="Times New Roman" w:cs="Arial"/>
          <w:color w:val="000000" w:themeColor="text1"/>
          <w:spacing w:val="-3"/>
          <w:szCs w:val="24"/>
          <w:lang w:val="es-ES" w:eastAsia="es-ES"/>
        </w:rPr>
      </w:pPr>
    </w:p>
    <w:p w14:paraId="4E5574B5" w14:textId="20D9660A" w:rsidR="004D371C" w:rsidRDefault="004752B3" w:rsidP="00D60139">
      <w:pPr>
        <w:spacing w:after="0"/>
        <w:jc w:val="both"/>
        <w:rPr>
          <w:rFonts w:eastAsia="Times New Roman" w:cs="Arial"/>
          <w:color w:val="000000" w:themeColor="text1"/>
          <w:spacing w:val="-3"/>
          <w:szCs w:val="24"/>
          <w:lang w:val="es-ES" w:eastAsia="es-ES"/>
        </w:rPr>
      </w:pPr>
      <w:r w:rsidRPr="004752B3">
        <w:rPr>
          <w:rFonts w:eastAsia="Times New Roman" w:cs="Arial"/>
          <w:color w:val="000000" w:themeColor="text1"/>
          <w:spacing w:val="-3"/>
          <w:szCs w:val="24"/>
          <w:lang w:val="es-ES" w:eastAsia="es-ES"/>
        </w:rPr>
        <w:t xml:space="preserve">El ajuste en los cargos regulados del sistema de transporte de </w:t>
      </w:r>
      <w:r w:rsidR="00EB7D44">
        <w:rPr>
          <w:rFonts w:eastAsia="Times New Roman" w:cs="Arial"/>
          <w:color w:val="000000" w:themeColor="text1"/>
          <w:spacing w:val="-3"/>
          <w:szCs w:val="24"/>
          <w:lang w:val="es-ES" w:eastAsia="es-ES"/>
        </w:rPr>
        <w:t>TGI</w:t>
      </w:r>
      <w:r w:rsidR="003C51F2">
        <w:rPr>
          <w:rFonts w:eastAsia="Times New Roman" w:cs="Arial"/>
          <w:color w:val="000000" w:themeColor="text1"/>
          <w:spacing w:val="-3"/>
          <w:szCs w:val="24"/>
          <w:lang w:val="es-ES" w:eastAsia="es-ES"/>
        </w:rPr>
        <w:t xml:space="preserve">, con base en lo dispuesto en el considerando anterior, </w:t>
      </w:r>
      <w:r w:rsidRPr="004752B3">
        <w:rPr>
          <w:rFonts w:eastAsia="Times New Roman" w:cs="Arial"/>
          <w:color w:val="000000" w:themeColor="text1"/>
          <w:spacing w:val="-3"/>
          <w:szCs w:val="24"/>
          <w:lang w:val="es-ES" w:eastAsia="es-ES"/>
        </w:rPr>
        <w:t>consiste en ajustar exclusivamente los valores de las inversiones reconocidos en la base tarifaria</w:t>
      </w:r>
      <w:r w:rsidR="00FB460D">
        <w:rPr>
          <w:rFonts w:eastAsia="Times New Roman" w:cs="Arial"/>
          <w:color w:val="000000" w:themeColor="text1"/>
          <w:spacing w:val="-3"/>
          <w:szCs w:val="24"/>
          <w:lang w:val="es-ES" w:eastAsia="es-ES"/>
        </w:rPr>
        <w:t xml:space="preserve"> con el objeto de</w:t>
      </w:r>
      <w:r w:rsidRPr="004752B3">
        <w:rPr>
          <w:rFonts w:eastAsia="Times New Roman" w:cs="Arial"/>
          <w:color w:val="000000" w:themeColor="text1"/>
          <w:spacing w:val="-3"/>
          <w:szCs w:val="24"/>
          <w:lang w:val="es-ES" w:eastAsia="es-ES"/>
        </w:rPr>
        <w:t xml:space="preserve">: i) retirar los valores a que hace referencia el Anexo </w:t>
      </w:r>
      <w:r w:rsidR="00A561E4">
        <w:rPr>
          <w:rFonts w:eastAsia="Times New Roman" w:cs="Arial"/>
          <w:color w:val="000000" w:themeColor="text1"/>
          <w:spacing w:val="-3"/>
          <w:szCs w:val="24"/>
          <w:lang w:val="es-ES" w:eastAsia="es-ES"/>
        </w:rPr>
        <w:t>3</w:t>
      </w:r>
      <w:r w:rsidRPr="004752B3">
        <w:rPr>
          <w:rFonts w:eastAsia="Times New Roman" w:cs="Arial"/>
          <w:color w:val="000000" w:themeColor="text1"/>
          <w:spacing w:val="-3"/>
          <w:szCs w:val="24"/>
          <w:lang w:val="es-ES" w:eastAsia="es-ES"/>
        </w:rPr>
        <w:t xml:space="preserve"> de la Resolución CREG </w:t>
      </w:r>
      <w:r w:rsidR="00A561E4">
        <w:rPr>
          <w:rFonts w:eastAsia="Times New Roman" w:cs="Arial"/>
          <w:color w:val="000000" w:themeColor="text1"/>
          <w:spacing w:val="-3"/>
          <w:szCs w:val="24"/>
          <w:lang w:val="es-ES" w:eastAsia="es-ES"/>
        </w:rPr>
        <w:t>231</w:t>
      </w:r>
      <w:r w:rsidRPr="004752B3">
        <w:rPr>
          <w:rFonts w:eastAsia="Times New Roman" w:cs="Arial"/>
          <w:color w:val="000000" w:themeColor="text1"/>
          <w:spacing w:val="-3"/>
          <w:szCs w:val="24"/>
          <w:lang w:val="es-ES" w:eastAsia="es-ES"/>
        </w:rPr>
        <w:t xml:space="preserve"> de 2021</w:t>
      </w:r>
      <w:r w:rsidR="000E5CB5">
        <w:rPr>
          <w:rFonts w:eastAsia="Times New Roman" w:cs="Arial"/>
          <w:color w:val="000000" w:themeColor="text1"/>
          <w:spacing w:val="-3"/>
          <w:szCs w:val="24"/>
          <w:lang w:val="es-ES" w:eastAsia="es-ES"/>
        </w:rPr>
        <w:t>;</w:t>
      </w:r>
      <w:r w:rsidRPr="004752B3">
        <w:rPr>
          <w:rFonts w:eastAsia="Times New Roman" w:cs="Arial"/>
          <w:color w:val="000000" w:themeColor="text1"/>
          <w:spacing w:val="-3"/>
          <w:szCs w:val="24"/>
          <w:lang w:val="es-ES" w:eastAsia="es-ES"/>
        </w:rPr>
        <w:t xml:space="preserve"> e</w:t>
      </w:r>
      <w:r w:rsidR="000E5CB5">
        <w:rPr>
          <w:rFonts w:eastAsia="Times New Roman" w:cs="Arial"/>
          <w:color w:val="000000" w:themeColor="text1"/>
          <w:spacing w:val="-3"/>
          <w:szCs w:val="24"/>
          <w:lang w:val="es-ES" w:eastAsia="es-ES"/>
        </w:rPr>
        <w:t>,</w:t>
      </w:r>
      <w:r w:rsidRPr="004752B3">
        <w:rPr>
          <w:rFonts w:eastAsia="Times New Roman" w:cs="Arial"/>
          <w:color w:val="000000" w:themeColor="text1"/>
          <w:spacing w:val="-3"/>
          <w:szCs w:val="24"/>
          <w:lang w:val="es-ES" w:eastAsia="es-ES"/>
        </w:rPr>
        <w:t xml:space="preserve"> </w:t>
      </w:r>
      <w:proofErr w:type="spellStart"/>
      <w:r w:rsidRPr="004752B3">
        <w:rPr>
          <w:rFonts w:eastAsia="Times New Roman" w:cs="Arial"/>
          <w:color w:val="000000" w:themeColor="text1"/>
          <w:spacing w:val="-3"/>
          <w:szCs w:val="24"/>
          <w:lang w:val="es-ES" w:eastAsia="es-ES"/>
        </w:rPr>
        <w:t>ii</w:t>
      </w:r>
      <w:proofErr w:type="spellEnd"/>
      <w:r w:rsidRPr="004752B3">
        <w:rPr>
          <w:rFonts w:eastAsia="Times New Roman" w:cs="Arial"/>
          <w:color w:val="000000" w:themeColor="text1"/>
          <w:spacing w:val="-3"/>
          <w:szCs w:val="24"/>
          <w:lang w:val="es-ES" w:eastAsia="es-ES"/>
        </w:rPr>
        <w:t xml:space="preserve">) incorporar el valor </w:t>
      </w:r>
      <w:r w:rsidRPr="00DC30A4">
        <w:rPr>
          <w:rFonts w:eastAsia="Times New Roman" w:cs="Arial"/>
          <w:color w:val="000000" w:themeColor="text1"/>
          <w:spacing w:val="-3"/>
          <w:szCs w:val="24"/>
          <w:lang w:val="es-ES" w:eastAsia="es-ES"/>
        </w:rPr>
        <w:t xml:space="preserve">VAO que se aprobó mediante </w:t>
      </w:r>
      <w:r w:rsidR="00DF780A">
        <w:rPr>
          <w:rFonts w:eastAsia="Times New Roman" w:cs="Arial"/>
          <w:color w:val="000000" w:themeColor="text1"/>
          <w:spacing w:val="-3"/>
          <w:szCs w:val="24"/>
          <w:lang w:val="es-ES" w:eastAsia="es-ES"/>
        </w:rPr>
        <w:t>los</w:t>
      </w:r>
      <w:r w:rsidRPr="00DC30A4">
        <w:rPr>
          <w:rFonts w:eastAsia="Times New Roman" w:cs="Arial"/>
          <w:color w:val="000000" w:themeColor="text1"/>
          <w:spacing w:val="-3"/>
          <w:szCs w:val="24"/>
          <w:lang w:val="es-ES" w:eastAsia="es-ES"/>
        </w:rPr>
        <w:t xml:space="preserve"> artículo</w:t>
      </w:r>
      <w:r w:rsidR="00DF780A">
        <w:rPr>
          <w:rFonts w:eastAsia="Times New Roman" w:cs="Arial"/>
          <w:color w:val="000000" w:themeColor="text1"/>
          <w:spacing w:val="-3"/>
          <w:szCs w:val="24"/>
          <w:lang w:val="es-ES" w:eastAsia="es-ES"/>
        </w:rPr>
        <w:t>s</w:t>
      </w:r>
      <w:r w:rsidRPr="00DC30A4">
        <w:rPr>
          <w:rFonts w:eastAsia="Times New Roman" w:cs="Arial"/>
          <w:color w:val="000000" w:themeColor="text1"/>
          <w:spacing w:val="-3"/>
          <w:szCs w:val="24"/>
          <w:lang w:val="es-ES" w:eastAsia="es-ES"/>
        </w:rPr>
        <w:t xml:space="preserve"> 1 </w:t>
      </w:r>
      <w:r w:rsidR="00DF780A">
        <w:rPr>
          <w:rFonts w:eastAsia="Times New Roman" w:cs="Arial"/>
          <w:color w:val="000000" w:themeColor="text1"/>
          <w:spacing w:val="-3"/>
          <w:szCs w:val="24"/>
          <w:lang w:val="es-ES" w:eastAsia="es-ES"/>
        </w:rPr>
        <w:t xml:space="preserve">y 2 </w:t>
      </w:r>
      <w:r w:rsidRPr="00DC30A4">
        <w:rPr>
          <w:rFonts w:eastAsia="Times New Roman" w:cs="Arial"/>
          <w:color w:val="000000" w:themeColor="text1"/>
          <w:spacing w:val="-3"/>
          <w:szCs w:val="24"/>
          <w:lang w:val="es-ES" w:eastAsia="es-ES"/>
        </w:rPr>
        <w:t xml:space="preserve">de la Resolución CREG </w:t>
      </w:r>
      <w:r w:rsidR="00DF780A">
        <w:rPr>
          <w:rFonts w:eastAsia="Times New Roman" w:cs="Arial"/>
          <w:color w:val="000000" w:themeColor="text1"/>
          <w:spacing w:val="-3"/>
          <w:szCs w:val="24"/>
          <w:lang w:val="es-ES" w:eastAsia="es-ES"/>
        </w:rPr>
        <w:t>099</w:t>
      </w:r>
      <w:r w:rsidRPr="00DC30A4">
        <w:rPr>
          <w:rFonts w:eastAsia="Times New Roman" w:cs="Arial"/>
          <w:color w:val="000000" w:themeColor="text1"/>
          <w:spacing w:val="-3"/>
          <w:szCs w:val="24"/>
          <w:lang w:val="es-ES" w:eastAsia="es-ES"/>
        </w:rPr>
        <w:t xml:space="preserve"> de 2021.</w:t>
      </w:r>
    </w:p>
    <w:p w14:paraId="668E85FF" w14:textId="77777777" w:rsidR="00515EFC" w:rsidRDefault="00515EFC" w:rsidP="00D60139">
      <w:pPr>
        <w:spacing w:after="0"/>
        <w:jc w:val="both"/>
        <w:rPr>
          <w:rFonts w:eastAsia="Times New Roman" w:cs="Arial"/>
          <w:color w:val="000000" w:themeColor="text1"/>
          <w:spacing w:val="-3"/>
          <w:szCs w:val="24"/>
          <w:lang w:val="es-ES" w:eastAsia="es-ES"/>
        </w:rPr>
      </w:pPr>
    </w:p>
    <w:p w14:paraId="480C5A4A" w14:textId="0E06BB78" w:rsidR="00515EFC" w:rsidRPr="00DC30A4" w:rsidRDefault="00801745" w:rsidP="00D60139">
      <w:pPr>
        <w:spacing w:after="0"/>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Adicionalmente, este procedimiento aplica a la incorporación de los activos </w:t>
      </w:r>
      <w:r w:rsidR="007D0519">
        <w:rPr>
          <w:rFonts w:eastAsia="Times New Roman" w:cs="Arial"/>
          <w:color w:val="000000" w:themeColor="text1"/>
          <w:spacing w:val="-3"/>
          <w:szCs w:val="24"/>
          <w:lang w:val="es-ES" w:eastAsia="es-ES"/>
        </w:rPr>
        <w:t xml:space="preserve">descritos en el numeral 2.1 del presente numeral. </w:t>
      </w:r>
    </w:p>
    <w:p w14:paraId="35244542" w14:textId="77777777" w:rsidR="00E74C19" w:rsidRDefault="00E74C19" w:rsidP="00E74C19">
      <w:pPr>
        <w:spacing w:after="0"/>
        <w:jc w:val="both"/>
        <w:rPr>
          <w:rFonts w:eastAsia="Times New Roman" w:cs="Arial"/>
          <w:color w:val="000000" w:themeColor="text1"/>
          <w:spacing w:val="-3"/>
          <w:szCs w:val="24"/>
          <w:lang w:val="es-ES" w:eastAsia="es-ES"/>
        </w:rPr>
      </w:pPr>
    </w:p>
    <w:p w14:paraId="76E7B223" w14:textId="0AB2C4CA" w:rsidR="00E74C19" w:rsidRDefault="00E74C19" w:rsidP="00A60F17">
      <w:pPr>
        <w:pStyle w:val="Tit1"/>
        <w:ind w:left="567" w:hanging="567"/>
      </w:pPr>
      <w:r>
        <w:t>Recursos</w:t>
      </w:r>
    </w:p>
    <w:p w14:paraId="3DAC9603" w14:textId="77777777" w:rsidR="00FB460D" w:rsidRPr="00EA7F9D" w:rsidRDefault="00FB460D" w:rsidP="001A3546"/>
    <w:p w14:paraId="073429B7" w14:textId="0E12F7FE" w:rsidR="00E74C19" w:rsidRDefault="00FD0577" w:rsidP="00C50191">
      <w:pPr>
        <w:jc w:val="both"/>
        <w:rPr>
          <w:lang w:eastAsia="es-ES"/>
        </w:rPr>
      </w:pPr>
      <w:r>
        <w:rPr>
          <w:lang w:eastAsia="es-ES"/>
        </w:rPr>
        <w:t>Mediante los radicados señalados en la siguiente tabla</w:t>
      </w:r>
      <w:r w:rsidR="00FC3FE7">
        <w:rPr>
          <w:lang w:eastAsia="es-ES"/>
        </w:rPr>
        <w:t>,</w:t>
      </w:r>
      <w:r>
        <w:rPr>
          <w:lang w:eastAsia="es-ES"/>
        </w:rPr>
        <w:t xml:space="preserve"> TGI y </w:t>
      </w:r>
      <w:proofErr w:type="spellStart"/>
      <w:r>
        <w:rPr>
          <w:lang w:eastAsia="es-ES"/>
        </w:rPr>
        <w:t>Vanti</w:t>
      </w:r>
      <w:proofErr w:type="spellEnd"/>
      <w:r>
        <w:rPr>
          <w:lang w:eastAsia="es-ES"/>
        </w:rPr>
        <w:t xml:space="preserve"> interpusieron recurso</w:t>
      </w:r>
      <w:r w:rsidR="00B324B9">
        <w:rPr>
          <w:lang w:eastAsia="es-ES"/>
        </w:rPr>
        <w:t xml:space="preserve"> de reposición contra</w:t>
      </w:r>
      <w:r>
        <w:rPr>
          <w:lang w:eastAsia="es-ES"/>
        </w:rPr>
        <w:t xml:space="preserve"> la Resolución CREG</w:t>
      </w:r>
      <w:r w:rsidR="00EB239D">
        <w:rPr>
          <w:lang w:eastAsia="es-ES"/>
        </w:rPr>
        <w:t xml:space="preserve"> 502 024</w:t>
      </w:r>
      <w:r w:rsidR="00772CB0">
        <w:rPr>
          <w:lang w:eastAsia="es-ES"/>
        </w:rPr>
        <w:t xml:space="preserve"> de 2022.</w:t>
      </w:r>
    </w:p>
    <w:p w14:paraId="18EAB3E6" w14:textId="060AD987" w:rsidR="002B7C99" w:rsidRDefault="002B7C99" w:rsidP="002B7C99">
      <w:pPr>
        <w:pStyle w:val="Descripcin"/>
        <w:keepNext/>
      </w:pPr>
    </w:p>
    <w:tbl>
      <w:tblPr>
        <w:tblStyle w:val="Tablaconcuadrcula"/>
        <w:tblW w:w="0" w:type="auto"/>
        <w:jc w:val="center"/>
        <w:tblLook w:val="04A0" w:firstRow="1" w:lastRow="0" w:firstColumn="1" w:lastColumn="0" w:noHBand="0" w:noVBand="1"/>
      </w:tblPr>
      <w:tblGrid>
        <w:gridCol w:w="4872"/>
        <w:gridCol w:w="1878"/>
        <w:gridCol w:w="1398"/>
      </w:tblGrid>
      <w:tr w:rsidR="00233386" w14:paraId="554A569F" w14:textId="51E5C25C" w:rsidTr="00AD64E7">
        <w:trPr>
          <w:tblHeader/>
          <w:jc w:val="center"/>
        </w:trPr>
        <w:tc>
          <w:tcPr>
            <w:tcW w:w="0" w:type="auto"/>
            <w:gridSpan w:val="2"/>
          </w:tcPr>
          <w:p w14:paraId="1E62F47E" w14:textId="74C9E42E" w:rsidR="00233386" w:rsidRDefault="00233386" w:rsidP="00AD64E7">
            <w:pPr>
              <w:jc w:val="center"/>
              <w:rPr>
                <w:lang w:eastAsia="es-ES"/>
              </w:rPr>
            </w:pPr>
            <w:bookmarkStart w:id="3" w:name="_Ref118450627"/>
            <w:r>
              <w:t xml:space="preserve">Tabla </w:t>
            </w:r>
            <w:r w:rsidR="00D42104">
              <w:fldChar w:fldCharType="begin"/>
            </w:r>
            <w:r w:rsidR="00D42104">
              <w:instrText xml:space="preserve"> SEQ Tabla \* ARABIC </w:instrText>
            </w:r>
            <w:r w:rsidR="00D42104">
              <w:fldChar w:fldCharType="separate"/>
            </w:r>
            <w:r w:rsidR="006263D4">
              <w:rPr>
                <w:noProof/>
              </w:rPr>
              <w:t>1</w:t>
            </w:r>
            <w:r w:rsidR="00D42104">
              <w:rPr>
                <w:noProof/>
              </w:rPr>
              <w:fldChar w:fldCharType="end"/>
            </w:r>
            <w:bookmarkEnd w:id="3"/>
            <w:r>
              <w:t xml:space="preserve"> Listado de radicados</w:t>
            </w:r>
          </w:p>
        </w:tc>
        <w:tc>
          <w:tcPr>
            <w:tcW w:w="0" w:type="auto"/>
          </w:tcPr>
          <w:p w14:paraId="765E1DC8" w14:textId="77777777" w:rsidR="00233386" w:rsidRDefault="00233386" w:rsidP="00E74C19"/>
        </w:tc>
      </w:tr>
      <w:tr w:rsidR="00233386" w14:paraId="0D86EAE7" w14:textId="06323734" w:rsidTr="00AD64E7">
        <w:trPr>
          <w:tblHeader/>
          <w:jc w:val="center"/>
        </w:trPr>
        <w:tc>
          <w:tcPr>
            <w:tcW w:w="0" w:type="auto"/>
          </w:tcPr>
          <w:p w14:paraId="5CFA7491" w14:textId="473B1E50" w:rsidR="00233386" w:rsidRDefault="00233386" w:rsidP="00E74C19">
            <w:pPr>
              <w:rPr>
                <w:lang w:eastAsia="es-ES"/>
              </w:rPr>
            </w:pPr>
            <w:r>
              <w:rPr>
                <w:lang w:eastAsia="es-ES"/>
              </w:rPr>
              <w:t xml:space="preserve">Empresa </w:t>
            </w:r>
          </w:p>
        </w:tc>
        <w:tc>
          <w:tcPr>
            <w:tcW w:w="0" w:type="auto"/>
          </w:tcPr>
          <w:p w14:paraId="0F56BC6A" w14:textId="64ABCF32" w:rsidR="00233386" w:rsidRDefault="00233386" w:rsidP="00E74C19">
            <w:pPr>
              <w:rPr>
                <w:lang w:eastAsia="es-ES"/>
              </w:rPr>
            </w:pPr>
            <w:r>
              <w:rPr>
                <w:lang w:eastAsia="es-ES"/>
              </w:rPr>
              <w:t>Radicado</w:t>
            </w:r>
          </w:p>
        </w:tc>
        <w:tc>
          <w:tcPr>
            <w:tcW w:w="0" w:type="auto"/>
          </w:tcPr>
          <w:p w14:paraId="4F7C74DF" w14:textId="7C57C275" w:rsidR="00233386" w:rsidRDefault="00233386" w:rsidP="00E74C19">
            <w:pPr>
              <w:rPr>
                <w:lang w:eastAsia="es-ES"/>
              </w:rPr>
            </w:pPr>
            <w:r>
              <w:rPr>
                <w:lang w:eastAsia="es-ES"/>
              </w:rPr>
              <w:t>Fecha</w:t>
            </w:r>
          </w:p>
        </w:tc>
      </w:tr>
      <w:tr w:rsidR="00233386" w14:paraId="1589CDA7" w14:textId="4D043E58" w:rsidTr="00785CB2">
        <w:trPr>
          <w:jc w:val="center"/>
        </w:trPr>
        <w:tc>
          <w:tcPr>
            <w:tcW w:w="0" w:type="auto"/>
          </w:tcPr>
          <w:p w14:paraId="0BEE62D5" w14:textId="0681F44E" w:rsidR="00233386" w:rsidRDefault="00233386" w:rsidP="00E74C19">
            <w:pPr>
              <w:rPr>
                <w:lang w:eastAsia="es-ES"/>
              </w:rPr>
            </w:pPr>
            <w:r>
              <w:rPr>
                <w:lang w:eastAsia="es-ES"/>
              </w:rPr>
              <w:t>TGI</w:t>
            </w:r>
          </w:p>
        </w:tc>
        <w:tc>
          <w:tcPr>
            <w:tcW w:w="0" w:type="auto"/>
          </w:tcPr>
          <w:p w14:paraId="535240B9" w14:textId="6E2CD9E5" w:rsidR="00233386" w:rsidRDefault="00233386" w:rsidP="00E74C19">
            <w:pPr>
              <w:rPr>
                <w:lang w:eastAsia="es-ES"/>
              </w:rPr>
            </w:pPr>
            <w:r w:rsidRPr="00B44BB4">
              <w:rPr>
                <w:lang w:eastAsia="es-ES"/>
              </w:rPr>
              <w:t>E2022009205</w:t>
            </w:r>
          </w:p>
        </w:tc>
        <w:tc>
          <w:tcPr>
            <w:tcW w:w="0" w:type="auto"/>
          </w:tcPr>
          <w:p w14:paraId="36D89C2C" w14:textId="2C11CAB3" w:rsidR="00233386" w:rsidRPr="00B44BB4" w:rsidRDefault="00233386" w:rsidP="00E74C19">
            <w:pPr>
              <w:rPr>
                <w:lang w:eastAsia="es-ES"/>
              </w:rPr>
            </w:pPr>
            <w:r>
              <w:rPr>
                <w:lang w:eastAsia="es-ES"/>
              </w:rPr>
              <w:t>22/08/22</w:t>
            </w:r>
          </w:p>
        </w:tc>
      </w:tr>
      <w:tr w:rsidR="00233386" w14:paraId="042D2C3D" w14:textId="748E7419" w:rsidTr="00785CB2">
        <w:trPr>
          <w:jc w:val="center"/>
        </w:trPr>
        <w:tc>
          <w:tcPr>
            <w:tcW w:w="0" w:type="auto"/>
          </w:tcPr>
          <w:p w14:paraId="62A34E57" w14:textId="523A68A8" w:rsidR="00233386" w:rsidRDefault="00233386" w:rsidP="00E74C19">
            <w:pPr>
              <w:rPr>
                <w:lang w:eastAsia="es-ES"/>
              </w:rPr>
            </w:pPr>
            <w:r>
              <w:rPr>
                <w:lang w:eastAsia="es-ES"/>
              </w:rPr>
              <w:t>TGI</w:t>
            </w:r>
          </w:p>
        </w:tc>
        <w:tc>
          <w:tcPr>
            <w:tcW w:w="0" w:type="auto"/>
          </w:tcPr>
          <w:p w14:paraId="2E01552B" w14:textId="6FC486C9" w:rsidR="00233386" w:rsidRDefault="00233386" w:rsidP="00E74C19">
            <w:pPr>
              <w:rPr>
                <w:lang w:eastAsia="es-ES"/>
              </w:rPr>
            </w:pPr>
            <w:r w:rsidRPr="00455EA6">
              <w:rPr>
                <w:lang w:eastAsia="es-ES"/>
              </w:rPr>
              <w:t>E2022009240</w:t>
            </w:r>
          </w:p>
        </w:tc>
        <w:tc>
          <w:tcPr>
            <w:tcW w:w="0" w:type="auto"/>
          </w:tcPr>
          <w:p w14:paraId="1808CF95" w14:textId="512B7539" w:rsidR="00233386" w:rsidRPr="00455EA6" w:rsidRDefault="006F2033" w:rsidP="00E74C19">
            <w:pPr>
              <w:rPr>
                <w:lang w:eastAsia="es-ES"/>
              </w:rPr>
            </w:pPr>
            <w:r>
              <w:rPr>
                <w:lang w:eastAsia="es-ES"/>
              </w:rPr>
              <w:t>22/08/22</w:t>
            </w:r>
          </w:p>
        </w:tc>
      </w:tr>
      <w:tr w:rsidR="00233386" w14:paraId="5928594C" w14:textId="1DAF4EB3" w:rsidTr="00785CB2">
        <w:trPr>
          <w:jc w:val="center"/>
        </w:trPr>
        <w:tc>
          <w:tcPr>
            <w:tcW w:w="0" w:type="auto"/>
          </w:tcPr>
          <w:p w14:paraId="5406DCED" w14:textId="7DAC1441" w:rsidR="00233386" w:rsidRDefault="00233386" w:rsidP="00E74C19">
            <w:pPr>
              <w:rPr>
                <w:lang w:eastAsia="es-ES"/>
              </w:rPr>
            </w:pPr>
            <w:r>
              <w:rPr>
                <w:lang w:eastAsia="es-ES"/>
              </w:rPr>
              <w:t>TGI</w:t>
            </w:r>
          </w:p>
        </w:tc>
        <w:tc>
          <w:tcPr>
            <w:tcW w:w="0" w:type="auto"/>
          </w:tcPr>
          <w:p w14:paraId="265655DA" w14:textId="6630D270" w:rsidR="00233386" w:rsidRDefault="00233386" w:rsidP="00E74C19">
            <w:pPr>
              <w:rPr>
                <w:lang w:eastAsia="es-ES"/>
              </w:rPr>
            </w:pPr>
            <w:r w:rsidRPr="00455EA6">
              <w:rPr>
                <w:lang w:eastAsia="es-ES"/>
              </w:rPr>
              <w:t>E2022009250</w:t>
            </w:r>
          </w:p>
        </w:tc>
        <w:tc>
          <w:tcPr>
            <w:tcW w:w="0" w:type="auto"/>
          </w:tcPr>
          <w:p w14:paraId="696AFA53" w14:textId="44B00D1F" w:rsidR="00233386" w:rsidRPr="00455EA6" w:rsidRDefault="00572415" w:rsidP="00E74C19">
            <w:pPr>
              <w:rPr>
                <w:lang w:eastAsia="es-ES"/>
              </w:rPr>
            </w:pPr>
            <w:r>
              <w:rPr>
                <w:lang w:eastAsia="es-ES"/>
              </w:rPr>
              <w:t>22/08/22</w:t>
            </w:r>
          </w:p>
        </w:tc>
      </w:tr>
      <w:tr w:rsidR="00233386" w14:paraId="786BFF61" w14:textId="4C8002D2" w:rsidTr="00785CB2">
        <w:trPr>
          <w:jc w:val="center"/>
        </w:trPr>
        <w:tc>
          <w:tcPr>
            <w:tcW w:w="0" w:type="auto"/>
          </w:tcPr>
          <w:p w14:paraId="7BF68EEC" w14:textId="53202DDD" w:rsidR="00233386" w:rsidRDefault="00233386" w:rsidP="00E74C19">
            <w:pPr>
              <w:rPr>
                <w:lang w:eastAsia="es-ES"/>
              </w:rPr>
            </w:pPr>
            <w:proofErr w:type="spellStart"/>
            <w:r>
              <w:rPr>
                <w:lang w:eastAsia="es-ES"/>
              </w:rPr>
              <w:lastRenderedPageBreak/>
              <w:t>Vanti</w:t>
            </w:r>
            <w:proofErr w:type="spellEnd"/>
          </w:p>
        </w:tc>
        <w:tc>
          <w:tcPr>
            <w:tcW w:w="0" w:type="auto"/>
          </w:tcPr>
          <w:p w14:paraId="3CD5FD87" w14:textId="703DD5DE" w:rsidR="00233386" w:rsidRDefault="00233386" w:rsidP="00E74C19">
            <w:pPr>
              <w:rPr>
                <w:lang w:eastAsia="es-ES"/>
              </w:rPr>
            </w:pPr>
            <w:r w:rsidRPr="00C50191">
              <w:rPr>
                <w:lang w:eastAsia="es-ES"/>
              </w:rPr>
              <w:t>E2022010014</w:t>
            </w:r>
          </w:p>
        </w:tc>
        <w:tc>
          <w:tcPr>
            <w:tcW w:w="0" w:type="auto"/>
          </w:tcPr>
          <w:p w14:paraId="65F91006" w14:textId="1362EFCB" w:rsidR="00233386" w:rsidRPr="00C50191" w:rsidRDefault="008F617E" w:rsidP="00E74C19">
            <w:pPr>
              <w:rPr>
                <w:lang w:eastAsia="es-ES"/>
              </w:rPr>
            </w:pPr>
            <w:r>
              <w:rPr>
                <w:lang w:eastAsia="es-ES"/>
              </w:rPr>
              <w:t>06/09/22</w:t>
            </w:r>
          </w:p>
        </w:tc>
      </w:tr>
      <w:tr w:rsidR="00233386" w14:paraId="29E3C4D0" w14:textId="1C378ACB" w:rsidTr="00785CB2">
        <w:trPr>
          <w:jc w:val="center"/>
        </w:trPr>
        <w:tc>
          <w:tcPr>
            <w:tcW w:w="0" w:type="auto"/>
          </w:tcPr>
          <w:p w14:paraId="6231162F" w14:textId="07078891" w:rsidR="00233386" w:rsidRDefault="00332322" w:rsidP="00E74C19">
            <w:pPr>
              <w:rPr>
                <w:lang w:eastAsia="es-ES"/>
              </w:rPr>
            </w:pPr>
            <w:r>
              <w:rPr>
                <w:lang w:eastAsia="es-ES"/>
              </w:rPr>
              <w:t xml:space="preserve">Por remisión del </w:t>
            </w:r>
            <w:proofErr w:type="spellStart"/>
            <w:r>
              <w:rPr>
                <w:lang w:eastAsia="es-ES"/>
              </w:rPr>
              <w:t>MME_recurso</w:t>
            </w:r>
            <w:proofErr w:type="spellEnd"/>
            <w:r>
              <w:rPr>
                <w:lang w:eastAsia="es-ES"/>
              </w:rPr>
              <w:t xml:space="preserve"> de </w:t>
            </w:r>
            <w:proofErr w:type="spellStart"/>
            <w:r w:rsidR="00233386">
              <w:rPr>
                <w:lang w:eastAsia="es-ES"/>
              </w:rPr>
              <w:t>Vanti</w:t>
            </w:r>
            <w:proofErr w:type="spellEnd"/>
          </w:p>
        </w:tc>
        <w:tc>
          <w:tcPr>
            <w:tcW w:w="0" w:type="auto"/>
          </w:tcPr>
          <w:p w14:paraId="102D0349" w14:textId="28EA1AFB" w:rsidR="00233386" w:rsidRDefault="00233386" w:rsidP="00E74C19">
            <w:pPr>
              <w:rPr>
                <w:lang w:eastAsia="es-ES"/>
              </w:rPr>
            </w:pPr>
            <w:r w:rsidRPr="00C50191">
              <w:rPr>
                <w:lang w:eastAsia="es-ES"/>
              </w:rPr>
              <w:t>E2022010244</w:t>
            </w:r>
          </w:p>
        </w:tc>
        <w:tc>
          <w:tcPr>
            <w:tcW w:w="0" w:type="auto"/>
          </w:tcPr>
          <w:p w14:paraId="19D43BD4" w14:textId="22B2AE1F" w:rsidR="00233386" w:rsidRPr="00C50191" w:rsidRDefault="00332322" w:rsidP="00E74C19">
            <w:pPr>
              <w:rPr>
                <w:lang w:eastAsia="es-ES"/>
              </w:rPr>
            </w:pPr>
            <w:r>
              <w:rPr>
                <w:lang w:eastAsia="es-ES"/>
              </w:rPr>
              <w:t>12/0922</w:t>
            </w:r>
          </w:p>
        </w:tc>
      </w:tr>
    </w:tbl>
    <w:p w14:paraId="34F8231F" w14:textId="77777777" w:rsidR="00B44BB4" w:rsidRDefault="00B44BB4" w:rsidP="00E74C19">
      <w:pPr>
        <w:rPr>
          <w:lang w:eastAsia="es-ES"/>
        </w:rPr>
      </w:pPr>
    </w:p>
    <w:p w14:paraId="3B8BE6B7" w14:textId="51F08AB5" w:rsidR="00EA4F77" w:rsidRDefault="00E802D0" w:rsidP="00E74C19">
      <w:pPr>
        <w:rPr>
          <w:lang w:eastAsia="es-ES"/>
        </w:rPr>
      </w:pPr>
      <w:r>
        <w:rPr>
          <w:lang w:eastAsia="es-ES"/>
        </w:rPr>
        <w:t>A continuación</w:t>
      </w:r>
      <w:r w:rsidR="00551E94">
        <w:rPr>
          <w:lang w:eastAsia="es-ES"/>
        </w:rPr>
        <w:t>,</w:t>
      </w:r>
      <w:r>
        <w:rPr>
          <w:lang w:eastAsia="es-ES"/>
        </w:rPr>
        <w:t xml:space="preserve"> se describirá</w:t>
      </w:r>
      <w:r w:rsidR="000E5CB5">
        <w:rPr>
          <w:lang w:eastAsia="es-ES"/>
        </w:rPr>
        <w:t>n</w:t>
      </w:r>
      <w:r>
        <w:rPr>
          <w:lang w:eastAsia="es-ES"/>
        </w:rPr>
        <w:t xml:space="preserve"> las peticiones y sustentos de cada recurso, para finalmente mostrar </w:t>
      </w:r>
      <w:r w:rsidR="008D22BE">
        <w:rPr>
          <w:lang w:eastAsia="es-ES"/>
        </w:rPr>
        <w:t>el análisis y res</w:t>
      </w:r>
      <w:r w:rsidR="000E5CB5">
        <w:rPr>
          <w:lang w:eastAsia="es-ES"/>
        </w:rPr>
        <w:t>o</w:t>
      </w:r>
      <w:r w:rsidR="008D22BE">
        <w:rPr>
          <w:lang w:eastAsia="es-ES"/>
        </w:rPr>
        <w:t>lv</w:t>
      </w:r>
      <w:r w:rsidR="000E5CB5">
        <w:rPr>
          <w:lang w:eastAsia="es-ES"/>
        </w:rPr>
        <w:t>er</w:t>
      </w:r>
      <w:r w:rsidR="008D22BE">
        <w:rPr>
          <w:lang w:eastAsia="es-ES"/>
        </w:rPr>
        <w:t xml:space="preserve"> la presente actuación.</w:t>
      </w:r>
    </w:p>
    <w:p w14:paraId="2F80D234" w14:textId="101A10E0" w:rsidR="00E74C19" w:rsidRDefault="008D22BE" w:rsidP="00A60F17">
      <w:pPr>
        <w:pStyle w:val="Tit1"/>
        <w:numPr>
          <w:ilvl w:val="1"/>
          <w:numId w:val="7"/>
        </w:numPr>
        <w:ind w:hanging="792"/>
      </w:pPr>
      <w:r>
        <w:t xml:space="preserve">Recurso interpuesto por la empresa </w:t>
      </w:r>
      <w:proofErr w:type="spellStart"/>
      <w:r w:rsidR="00E74C19">
        <w:t>V</w:t>
      </w:r>
      <w:r>
        <w:t>anti</w:t>
      </w:r>
      <w:proofErr w:type="spellEnd"/>
      <w:r>
        <w:t xml:space="preserve"> S.A. E.S.P. contra la Resolución CREG </w:t>
      </w:r>
      <w:r w:rsidR="00B741AA">
        <w:t xml:space="preserve">502 024 de 2022. </w:t>
      </w:r>
    </w:p>
    <w:p w14:paraId="005213F2" w14:textId="06AC2BE6" w:rsidR="00EA4F77" w:rsidRPr="000715FB" w:rsidRDefault="00EA4F77" w:rsidP="001A3546"/>
    <w:p w14:paraId="79E030D4" w14:textId="6D732F16" w:rsidR="00E74C19" w:rsidRDefault="00121DC2" w:rsidP="00E74C19">
      <w:pPr>
        <w:rPr>
          <w:lang w:eastAsia="es-ES"/>
        </w:rPr>
      </w:pPr>
      <w:r>
        <w:rPr>
          <w:lang w:eastAsia="es-ES"/>
        </w:rPr>
        <w:t xml:space="preserve">Mediante </w:t>
      </w:r>
      <w:r w:rsidR="000B254B">
        <w:rPr>
          <w:lang w:eastAsia="es-ES"/>
        </w:rPr>
        <w:t>el</w:t>
      </w:r>
      <w:r>
        <w:rPr>
          <w:lang w:eastAsia="es-ES"/>
        </w:rPr>
        <w:t xml:space="preserve"> radicado señalado</w:t>
      </w:r>
      <w:r w:rsidR="003D103D">
        <w:rPr>
          <w:lang w:eastAsia="es-ES"/>
        </w:rPr>
        <w:t>,</w:t>
      </w:r>
      <w:r>
        <w:rPr>
          <w:lang w:eastAsia="es-ES"/>
        </w:rPr>
        <w:t xml:space="preserve"> </w:t>
      </w:r>
      <w:proofErr w:type="spellStart"/>
      <w:r>
        <w:rPr>
          <w:lang w:eastAsia="es-ES"/>
        </w:rPr>
        <w:t>V</w:t>
      </w:r>
      <w:r w:rsidR="0050274C">
        <w:rPr>
          <w:lang w:eastAsia="es-ES"/>
        </w:rPr>
        <w:t>anti</w:t>
      </w:r>
      <w:proofErr w:type="spellEnd"/>
      <w:r w:rsidR="00370505">
        <w:rPr>
          <w:lang w:eastAsia="es-ES"/>
        </w:rPr>
        <w:t xml:space="preserve"> </w:t>
      </w:r>
      <w:r w:rsidR="000E5CB5">
        <w:rPr>
          <w:lang w:eastAsia="es-ES"/>
        </w:rPr>
        <w:t>indica</w:t>
      </w:r>
      <w:r w:rsidR="00206AC9">
        <w:rPr>
          <w:lang w:eastAsia="es-ES"/>
        </w:rPr>
        <w:t xml:space="preserve"> </w:t>
      </w:r>
      <w:r w:rsidR="00370505">
        <w:rPr>
          <w:lang w:eastAsia="es-ES"/>
        </w:rPr>
        <w:t xml:space="preserve">en su </w:t>
      </w:r>
      <w:r w:rsidR="00206AC9">
        <w:rPr>
          <w:lang w:eastAsia="es-ES"/>
        </w:rPr>
        <w:t>recurso</w:t>
      </w:r>
      <w:r w:rsidR="00370505">
        <w:rPr>
          <w:lang w:eastAsia="es-ES"/>
        </w:rPr>
        <w:t xml:space="preserve"> lo siguiente</w:t>
      </w:r>
      <w:r>
        <w:rPr>
          <w:lang w:eastAsia="es-ES"/>
        </w:rPr>
        <w:t>:</w:t>
      </w:r>
    </w:p>
    <w:p w14:paraId="1B6A3E99" w14:textId="77777777" w:rsidR="00E40629" w:rsidRDefault="00E40629" w:rsidP="00E40629">
      <w:pPr>
        <w:pStyle w:val="paragraph"/>
        <w:spacing w:before="0" w:beforeAutospacing="0" w:after="0" w:afterAutospacing="0"/>
        <w:ind w:right="270" w:firstLine="705"/>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w:t>
      </w:r>
      <w:r>
        <w:rPr>
          <w:rStyle w:val="eop"/>
          <w:rFonts w:ascii="Bookman Old Style" w:hAnsi="Bookman Old Style" w:cs="Segoe UI"/>
          <w:b/>
          <w:bCs/>
        </w:rPr>
        <w:t> </w:t>
      </w:r>
    </w:p>
    <w:p w14:paraId="46D23BC1" w14:textId="77777777" w:rsidR="00EA4F77" w:rsidRDefault="00EA4F77" w:rsidP="00E40629">
      <w:pPr>
        <w:pStyle w:val="paragraph"/>
        <w:spacing w:before="0" w:beforeAutospacing="0" w:after="0" w:afterAutospacing="0"/>
        <w:ind w:right="270" w:firstLine="705"/>
        <w:jc w:val="both"/>
        <w:textAlignment w:val="baseline"/>
        <w:rPr>
          <w:rFonts w:ascii="Segoe UI" w:hAnsi="Segoe UI" w:cs="Segoe UI"/>
          <w:b/>
          <w:bCs/>
          <w:sz w:val="18"/>
          <w:szCs w:val="18"/>
        </w:rPr>
      </w:pPr>
    </w:p>
    <w:p w14:paraId="55F02BDA" w14:textId="77777777" w:rsidR="00E40629" w:rsidRDefault="00E40629" w:rsidP="00E40629">
      <w:pPr>
        <w:pStyle w:val="paragraph"/>
        <w:spacing w:before="0" w:beforeAutospacing="0" w:after="0" w:afterAutospacing="0"/>
        <w:ind w:left="705" w:right="27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 xml:space="preserve">GERMÁN HUMBERTO HENAO SARMIENTO, en mi calidad de Representante Legal Tipo B de la sociedad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S.A. E.S.P, según consta el certificado de existencia y representación expedido por la Cámara de Comercio de Bogotá que adjunto, me permito presentar RECURSO DE REPOSICIÓN en contra de la Resolución CREG 502 024 de 15 de julio de 2022 “Por la cual se resuelve una actuación administrativa y se ajustan los cargos del sistema de transporte de TGI S.A. E.S.P.” conforme a continuación se desarrolla:</w:t>
      </w:r>
      <w:r>
        <w:rPr>
          <w:rStyle w:val="eop"/>
          <w:rFonts w:ascii="Bookman Old Style" w:hAnsi="Bookman Old Style" w:cs="Segoe UI"/>
          <w:b/>
          <w:bCs/>
        </w:rPr>
        <w:t> </w:t>
      </w:r>
    </w:p>
    <w:p w14:paraId="08669ACF" w14:textId="77777777" w:rsidR="00EA4F77" w:rsidRDefault="00EA4F77" w:rsidP="00E40629">
      <w:pPr>
        <w:pStyle w:val="paragraph"/>
        <w:spacing w:before="0" w:beforeAutospacing="0" w:after="0" w:afterAutospacing="0"/>
        <w:ind w:left="705" w:right="270"/>
        <w:jc w:val="both"/>
        <w:textAlignment w:val="baseline"/>
        <w:rPr>
          <w:rFonts w:ascii="Segoe UI" w:hAnsi="Segoe UI" w:cs="Segoe UI"/>
          <w:b/>
          <w:bCs/>
          <w:sz w:val="18"/>
          <w:szCs w:val="18"/>
        </w:rPr>
      </w:pPr>
    </w:p>
    <w:p w14:paraId="79CF33D7" w14:textId="77777777" w:rsidR="00E40629" w:rsidRDefault="00E40629" w:rsidP="00E40629">
      <w:pPr>
        <w:pStyle w:val="paragraph"/>
        <w:spacing w:before="0" w:beforeAutospacing="0" w:after="0" w:afterAutospacing="0"/>
        <w:ind w:left="705"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w:t>
      </w:r>
      <w:r>
        <w:rPr>
          <w:rStyle w:val="eop"/>
          <w:rFonts w:ascii="Bookman Old Style" w:hAnsi="Bookman Old Style" w:cs="Segoe UI"/>
          <w:b/>
          <w:bCs/>
        </w:rPr>
        <w:t> </w:t>
      </w:r>
    </w:p>
    <w:p w14:paraId="007BF30C" w14:textId="77777777" w:rsidR="00EA4F77" w:rsidRDefault="00EA4F77" w:rsidP="00E40629">
      <w:pPr>
        <w:pStyle w:val="paragraph"/>
        <w:spacing w:before="0" w:beforeAutospacing="0" w:after="0" w:afterAutospacing="0"/>
        <w:ind w:firstLine="705"/>
        <w:jc w:val="both"/>
        <w:textAlignment w:val="baseline"/>
        <w:rPr>
          <w:rStyle w:val="normaltextrun"/>
          <w:rFonts w:ascii="Bookman Old Style" w:hAnsi="Bookman Old Style" w:cs="Segoe UI"/>
        </w:rPr>
      </w:pPr>
    </w:p>
    <w:p w14:paraId="1D04C3A8" w14:textId="5E55110C" w:rsidR="00E40629" w:rsidRDefault="00E40629" w:rsidP="00E40629">
      <w:pPr>
        <w:pStyle w:val="paragraph"/>
        <w:spacing w:before="0" w:beforeAutospacing="0" w:after="0" w:afterAutospacing="0"/>
        <w:ind w:firstLine="705"/>
        <w:jc w:val="both"/>
        <w:textAlignment w:val="baseline"/>
        <w:rPr>
          <w:rStyle w:val="eop"/>
          <w:rFonts w:ascii="Bookman Old Style" w:hAnsi="Bookman Old Style" w:cs="Segoe UI"/>
        </w:rPr>
      </w:pPr>
      <w:r>
        <w:rPr>
          <w:rStyle w:val="normaltextrun"/>
          <w:rFonts w:ascii="Bookman Old Style" w:hAnsi="Bookman Old Style" w:cs="Segoe UI"/>
        </w:rPr>
        <w:t>Solicitudes</w:t>
      </w:r>
      <w:r>
        <w:rPr>
          <w:rStyle w:val="eop"/>
          <w:rFonts w:ascii="Bookman Old Style" w:hAnsi="Bookman Old Style" w:cs="Segoe UI"/>
        </w:rPr>
        <w:t> </w:t>
      </w:r>
    </w:p>
    <w:p w14:paraId="40EB0275" w14:textId="77777777" w:rsidR="00EA4F77" w:rsidRDefault="00EA4F77" w:rsidP="00E40629">
      <w:pPr>
        <w:pStyle w:val="paragraph"/>
        <w:spacing w:before="0" w:beforeAutospacing="0" w:after="0" w:afterAutospacing="0"/>
        <w:ind w:firstLine="705"/>
        <w:jc w:val="both"/>
        <w:textAlignment w:val="baseline"/>
        <w:rPr>
          <w:rFonts w:ascii="Segoe UI" w:hAnsi="Segoe UI" w:cs="Segoe UI"/>
          <w:sz w:val="18"/>
          <w:szCs w:val="18"/>
        </w:rPr>
      </w:pPr>
    </w:p>
    <w:p w14:paraId="5AD2C3F2" w14:textId="32B5DFB8" w:rsidR="00E40629" w:rsidRDefault="00E40629" w:rsidP="00E40629">
      <w:pPr>
        <w:pStyle w:val="paragraph"/>
        <w:spacing w:before="0" w:beforeAutospacing="0" w:after="0" w:afterAutospacing="0"/>
        <w:ind w:left="705"/>
        <w:jc w:val="both"/>
        <w:textAlignment w:val="baseline"/>
        <w:rPr>
          <w:rStyle w:val="eop"/>
          <w:rFonts w:ascii="Bookman Old Style" w:hAnsi="Bookman Old Style" w:cs="Segoe UI"/>
        </w:rPr>
      </w:pPr>
      <w:r>
        <w:rPr>
          <w:rStyle w:val="normaltextrun"/>
          <w:rFonts w:ascii="Bookman Old Style" w:hAnsi="Bookman Old Style" w:cs="Segoe UI"/>
          <w:i/>
          <w:iCs/>
        </w:rPr>
        <w:t xml:space="preserve">Primero. </w:t>
      </w:r>
      <w:r w:rsidR="00CA2F87">
        <w:rPr>
          <w:rStyle w:val="normaltextrun"/>
          <w:rFonts w:ascii="Bookman Old Style" w:hAnsi="Bookman Old Style" w:cs="Segoe UI"/>
          <w:i/>
          <w:iCs/>
        </w:rPr>
        <w:t>–</w:t>
      </w:r>
      <w:r>
        <w:rPr>
          <w:rStyle w:val="normaltextrun"/>
          <w:rFonts w:ascii="Bookman Old Style" w:hAnsi="Bookman Old Style" w:cs="Segoe UI"/>
          <w:i/>
          <w:iCs/>
        </w:rPr>
        <w:t xml:space="preserve"> REVOCAR la Resolución </w:t>
      </w:r>
      <w:proofErr w:type="spellStart"/>
      <w:r>
        <w:rPr>
          <w:rStyle w:val="normaltextrun"/>
          <w:rFonts w:ascii="Bookman Old Style" w:hAnsi="Bookman Old Style" w:cs="Segoe UI"/>
          <w:i/>
          <w:iCs/>
        </w:rPr>
        <w:t>Nº</w:t>
      </w:r>
      <w:proofErr w:type="spellEnd"/>
      <w:r>
        <w:rPr>
          <w:rStyle w:val="normaltextrun"/>
          <w:rFonts w:ascii="Bookman Old Style" w:hAnsi="Bookman Old Style" w:cs="Segoe UI"/>
          <w:i/>
          <w:iCs/>
        </w:rPr>
        <w:t xml:space="preserve"> 502 024 del 2022 “Por la cual se resuelve la actuación administrativa y se ajustan los cargos regulados del sistema de transporte de TGI S.A. E.S.P.” de conformidad con las razones expuestas en este recurso.</w:t>
      </w:r>
      <w:r>
        <w:rPr>
          <w:rStyle w:val="eop"/>
          <w:rFonts w:ascii="Bookman Old Style" w:hAnsi="Bookman Old Style" w:cs="Segoe UI"/>
        </w:rPr>
        <w:t> </w:t>
      </w:r>
    </w:p>
    <w:p w14:paraId="261AF3FF" w14:textId="77777777" w:rsidR="00EA4F77" w:rsidRDefault="00EA4F77" w:rsidP="00E40629">
      <w:pPr>
        <w:pStyle w:val="paragraph"/>
        <w:spacing w:before="0" w:beforeAutospacing="0" w:after="0" w:afterAutospacing="0"/>
        <w:ind w:left="705"/>
        <w:jc w:val="both"/>
        <w:textAlignment w:val="baseline"/>
        <w:rPr>
          <w:rFonts w:ascii="Segoe UI" w:hAnsi="Segoe UI" w:cs="Segoe UI"/>
          <w:sz w:val="18"/>
          <w:szCs w:val="18"/>
        </w:rPr>
      </w:pPr>
    </w:p>
    <w:p w14:paraId="62B3F26E" w14:textId="6F87072B" w:rsidR="00E40629" w:rsidRDefault="00E40629" w:rsidP="00E40629">
      <w:pPr>
        <w:pStyle w:val="paragraph"/>
        <w:spacing w:before="0" w:beforeAutospacing="0" w:after="0" w:afterAutospacing="0"/>
        <w:ind w:left="705"/>
        <w:jc w:val="both"/>
        <w:textAlignment w:val="baseline"/>
        <w:rPr>
          <w:rStyle w:val="eop"/>
          <w:rFonts w:ascii="Bookman Old Style" w:hAnsi="Bookman Old Style" w:cs="Segoe UI"/>
        </w:rPr>
      </w:pPr>
      <w:r>
        <w:rPr>
          <w:rStyle w:val="normaltextrun"/>
          <w:rFonts w:ascii="Bookman Old Style" w:hAnsi="Bookman Old Style" w:cs="Segoe UI"/>
          <w:i/>
          <w:iCs/>
        </w:rPr>
        <w:t xml:space="preserve">Segundo. </w:t>
      </w:r>
      <w:r w:rsidR="00CA2F87">
        <w:rPr>
          <w:rStyle w:val="normaltextrun"/>
          <w:rFonts w:ascii="Bookman Old Style" w:hAnsi="Bookman Old Style" w:cs="Segoe UI"/>
          <w:i/>
          <w:iCs/>
        </w:rPr>
        <w:t>–</w:t>
      </w:r>
      <w:r>
        <w:rPr>
          <w:rStyle w:val="normaltextrun"/>
          <w:rFonts w:ascii="Bookman Old Style" w:hAnsi="Bookman Old Style" w:cs="Segoe UI"/>
          <w:i/>
          <w:iCs/>
        </w:rPr>
        <w:t xml:space="preserve"> SUSPENDER la decisión de la presente actuación administrativa hasta tanto no se decida de manera previa, de fondo y con la suficiente y debida motivación la solicitud de modificación de la Resolución CREG 175 de 2021 en aplicación de lo previsto en el artículo 126 de la Ley 142 de 1994 modificado por el artículo 52 de la Ley 2099 de 2021 radicada con el número CREG E-2022-005045.</w:t>
      </w:r>
      <w:r>
        <w:rPr>
          <w:rStyle w:val="eop"/>
          <w:rFonts w:ascii="Bookman Old Style" w:hAnsi="Bookman Old Style" w:cs="Segoe UI"/>
        </w:rPr>
        <w:t> </w:t>
      </w:r>
    </w:p>
    <w:p w14:paraId="32FB6615" w14:textId="77777777" w:rsidR="00EA4F77" w:rsidRDefault="00EA4F77" w:rsidP="00E40629">
      <w:pPr>
        <w:pStyle w:val="paragraph"/>
        <w:spacing w:before="0" w:beforeAutospacing="0" w:after="0" w:afterAutospacing="0"/>
        <w:ind w:left="705"/>
        <w:jc w:val="both"/>
        <w:textAlignment w:val="baseline"/>
        <w:rPr>
          <w:rFonts w:ascii="Segoe UI" w:hAnsi="Segoe UI" w:cs="Segoe UI"/>
          <w:sz w:val="18"/>
          <w:szCs w:val="18"/>
        </w:rPr>
      </w:pPr>
    </w:p>
    <w:p w14:paraId="2C6845CC" w14:textId="4ABF8407" w:rsidR="00E40629" w:rsidRDefault="00E40629" w:rsidP="00E40629">
      <w:pPr>
        <w:pStyle w:val="paragraph"/>
        <w:spacing w:before="0" w:beforeAutospacing="0" w:after="0" w:afterAutospacing="0"/>
        <w:ind w:left="705"/>
        <w:jc w:val="both"/>
        <w:textAlignment w:val="baseline"/>
        <w:rPr>
          <w:rStyle w:val="eop"/>
          <w:rFonts w:ascii="Bookman Old Style" w:hAnsi="Bookman Old Style" w:cs="Segoe UI"/>
        </w:rPr>
      </w:pPr>
      <w:r>
        <w:rPr>
          <w:rStyle w:val="normaltextrun"/>
          <w:rFonts w:ascii="Bookman Old Style" w:hAnsi="Bookman Old Style" w:cs="Segoe UI"/>
          <w:i/>
          <w:iCs/>
        </w:rPr>
        <w:t xml:space="preserve">Tercero </w:t>
      </w:r>
      <w:r w:rsidR="00CA2F87">
        <w:rPr>
          <w:rStyle w:val="normaltextrun"/>
          <w:rFonts w:ascii="Bookman Old Style" w:hAnsi="Bookman Old Style" w:cs="Segoe UI"/>
          <w:i/>
          <w:iCs/>
        </w:rPr>
        <w:t>–</w:t>
      </w:r>
      <w:r>
        <w:rPr>
          <w:rStyle w:val="normaltextrun"/>
          <w:rFonts w:ascii="Bookman Old Style" w:hAnsi="Bookman Old Style" w:cs="Segoe UI"/>
          <w:i/>
          <w:iCs/>
        </w:rPr>
        <w:t xml:space="preserve"> Se solicita a la Comisión de Regulación de Energía y Gas se DECRETE LA DESIGNACIÓN DE PERITO EXPERTO para la práctica de un dictamen pericial que tendrá por objeto determinar si de la aplicación de la Resolución CREG 502 024 de 2022 que se recurre basada en la metodología de la Resolución CREG 175 de 2021 (artículo 7) se está produciendo una sobre remuneración de los activos de transporte de TGI y las posibles implicaciones que traería su aplicación en tarifa final de los usuarios. El cuestionario que deberá rendir el perito designado será aportado por </w:t>
      </w:r>
      <w:proofErr w:type="spellStart"/>
      <w:r>
        <w:rPr>
          <w:rStyle w:val="normaltextrun"/>
          <w:rFonts w:ascii="Bookman Old Style" w:hAnsi="Bookman Old Style" w:cs="Segoe UI"/>
          <w:i/>
          <w:iCs/>
        </w:rPr>
        <w:t>Vanti</w:t>
      </w:r>
      <w:proofErr w:type="spellEnd"/>
      <w:r>
        <w:rPr>
          <w:rStyle w:val="normaltextrun"/>
          <w:rFonts w:ascii="Bookman Old Style" w:hAnsi="Bookman Old Style" w:cs="Segoe UI"/>
          <w:i/>
          <w:iCs/>
        </w:rPr>
        <w:t xml:space="preserve"> a más tardar en la diligencia de posesión del experto.</w:t>
      </w:r>
      <w:r>
        <w:rPr>
          <w:rStyle w:val="eop"/>
          <w:rFonts w:ascii="Bookman Old Style" w:hAnsi="Bookman Old Style" w:cs="Segoe UI"/>
        </w:rPr>
        <w:t> </w:t>
      </w:r>
    </w:p>
    <w:p w14:paraId="0C6C17C1" w14:textId="77777777" w:rsidR="00EA4F77" w:rsidRDefault="00EA4F77" w:rsidP="00E40629">
      <w:pPr>
        <w:pStyle w:val="paragraph"/>
        <w:spacing w:before="0" w:beforeAutospacing="0" w:after="0" w:afterAutospacing="0"/>
        <w:ind w:left="705"/>
        <w:jc w:val="both"/>
        <w:textAlignment w:val="baseline"/>
        <w:rPr>
          <w:rFonts w:ascii="Segoe UI" w:hAnsi="Segoe UI" w:cs="Segoe UI"/>
          <w:sz w:val="18"/>
          <w:szCs w:val="18"/>
        </w:rPr>
      </w:pPr>
    </w:p>
    <w:p w14:paraId="374A62CD" w14:textId="77777777" w:rsidR="00E40629" w:rsidRDefault="00E40629" w:rsidP="00E40629">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Bookman Old Style" w:hAnsi="Bookman Old Style" w:cs="Segoe UI"/>
          <w:i/>
          <w:iCs/>
        </w:rPr>
        <w:t xml:space="preserve">Cuarto: De forma subsidiaria, anunciamos la presentación de un dictamen pericial de parte, por lo que se solicita a la Comisión se otorgue un término </w:t>
      </w:r>
      <w:r>
        <w:rPr>
          <w:rStyle w:val="normaltextrun"/>
          <w:rFonts w:ascii="Bookman Old Style" w:hAnsi="Bookman Old Style" w:cs="Segoe UI"/>
          <w:i/>
          <w:iCs/>
        </w:rPr>
        <w:lastRenderedPageBreak/>
        <w:t>igual o superior a treinta (30) días hábiles para su aporte a partir del auto que la decrete.</w:t>
      </w:r>
      <w:r>
        <w:rPr>
          <w:rStyle w:val="eop"/>
          <w:rFonts w:ascii="Bookman Old Style" w:hAnsi="Bookman Old Style" w:cs="Segoe UI"/>
        </w:rPr>
        <w:t> </w:t>
      </w:r>
    </w:p>
    <w:p w14:paraId="3BBD1516" w14:textId="77777777" w:rsidR="00E40629" w:rsidRDefault="00E40629" w:rsidP="00E40629">
      <w:pPr>
        <w:pStyle w:val="paragraph"/>
        <w:spacing w:before="0" w:beforeAutospacing="0" w:after="0" w:afterAutospacing="0"/>
        <w:ind w:firstLine="705"/>
        <w:jc w:val="both"/>
        <w:textAlignment w:val="baseline"/>
        <w:rPr>
          <w:rStyle w:val="eop"/>
          <w:rFonts w:ascii="Bookman Old Style" w:hAnsi="Bookman Old Style" w:cs="Segoe UI"/>
        </w:rPr>
      </w:pPr>
      <w:r>
        <w:rPr>
          <w:rStyle w:val="normaltextrun"/>
          <w:rFonts w:ascii="Bookman Old Style" w:hAnsi="Bookman Old Style" w:cs="Segoe UI"/>
          <w:i/>
          <w:iCs/>
          <w:lang w:val="es-ES"/>
        </w:rPr>
        <w:t>(…)</w:t>
      </w:r>
      <w:r>
        <w:rPr>
          <w:rStyle w:val="eop"/>
          <w:rFonts w:ascii="Bookman Old Style" w:hAnsi="Bookman Old Style" w:cs="Segoe UI"/>
        </w:rPr>
        <w:t> </w:t>
      </w:r>
    </w:p>
    <w:p w14:paraId="5FDEB2D3" w14:textId="25062BF3"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lang w:val="es-ES"/>
        </w:rPr>
        <w:t xml:space="preserve">Como sustento de sus solicitudes, </w:t>
      </w:r>
      <w:proofErr w:type="spellStart"/>
      <w:r>
        <w:rPr>
          <w:rStyle w:val="normaltextrun"/>
          <w:rFonts w:ascii="Bookman Old Style" w:hAnsi="Bookman Old Style" w:cs="Segoe UI"/>
          <w:lang w:val="es-ES"/>
        </w:rPr>
        <w:t>V</w:t>
      </w:r>
      <w:r w:rsidR="00206AC9">
        <w:rPr>
          <w:rStyle w:val="normaltextrun"/>
          <w:rFonts w:ascii="Bookman Old Style" w:hAnsi="Bookman Old Style" w:cs="Segoe UI"/>
          <w:lang w:val="es-ES"/>
        </w:rPr>
        <w:t>anti</w:t>
      </w:r>
      <w:proofErr w:type="spellEnd"/>
      <w:r>
        <w:rPr>
          <w:rStyle w:val="normaltextrun"/>
          <w:rFonts w:ascii="Bookman Old Style" w:hAnsi="Bookman Old Style" w:cs="Segoe UI"/>
          <w:lang w:val="es-ES"/>
        </w:rPr>
        <w:t xml:space="preserve"> expone lo siguiente: </w:t>
      </w:r>
      <w:r>
        <w:rPr>
          <w:rStyle w:val="eop"/>
          <w:rFonts w:ascii="Bookman Old Style" w:hAnsi="Bookman Old Style" w:cs="Segoe UI"/>
          <w:b/>
          <w:bCs/>
        </w:rPr>
        <w:t> </w:t>
      </w:r>
    </w:p>
    <w:p w14:paraId="71CDB6B2" w14:textId="77777777" w:rsidR="00A60F17" w:rsidRDefault="00A60F17" w:rsidP="00E40629">
      <w:pPr>
        <w:pStyle w:val="paragraph"/>
        <w:spacing w:before="0" w:beforeAutospacing="0" w:after="0" w:afterAutospacing="0"/>
        <w:jc w:val="both"/>
        <w:textAlignment w:val="baseline"/>
        <w:rPr>
          <w:rStyle w:val="eop"/>
          <w:rFonts w:ascii="Bookman Old Style" w:hAnsi="Bookman Old Style" w:cs="Segoe UI"/>
          <w:b/>
          <w:bCs/>
        </w:rPr>
      </w:pPr>
    </w:p>
    <w:p w14:paraId="7D7F2D94" w14:textId="77777777" w:rsidR="00E40629" w:rsidRDefault="00E40629" w:rsidP="00E40629">
      <w:pPr>
        <w:pStyle w:val="paragraph"/>
        <w:numPr>
          <w:ilvl w:val="0"/>
          <w:numId w:val="11"/>
        </w:numPr>
        <w:spacing w:before="0" w:beforeAutospacing="0" w:after="0" w:afterAutospacing="0"/>
        <w:ind w:firstLine="0"/>
        <w:jc w:val="both"/>
        <w:textAlignment w:val="baseline"/>
        <w:rPr>
          <w:rFonts w:ascii="Bookman Old Style" w:hAnsi="Bookman Old Style" w:cs="Segoe UI"/>
          <w:b/>
          <w:bCs/>
        </w:rPr>
      </w:pPr>
      <w:r>
        <w:rPr>
          <w:rStyle w:val="normaltextrun"/>
          <w:rFonts w:ascii="Bookman Old Style" w:hAnsi="Bookman Old Style" w:cs="Segoe UI"/>
          <w:b/>
          <w:bCs/>
          <w:i/>
          <w:iCs/>
          <w:lang w:val="es-ES"/>
        </w:rPr>
        <w:t>La actualización de cargos de transporte no procede teniendo en cuenta que existe una actuación pendiente por iniciar y definir en relación con la solicitud de modificación de la metodología de transporte que lesiona injustificadamente a los usuarios.</w:t>
      </w:r>
      <w:r>
        <w:rPr>
          <w:rStyle w:val="eop"/>
          <w:rFonts w:ascii="Bookman Old Style" w:hAnsi="Bookman Old Style" w:cs="Segoe UI"/>
          <w:b/>
          <w:bCs/>
        </w:rPr>
        <w:t> </w:t>
      </w:r>
    </w:p>
    <w:p w14:paraId="180BDB69" w14:textId="77777777" w:rsidR="00EA4F77" w:rsidRDefault="00EA4F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13047A4F" w14:textId="7636313D"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w:t>
      </w:r>
      <w:r>
        <w:rPr>
          <w:rStyle w:val="eop"/>
          <w:rFonts w:ascii="Bookman Old Style" w:hAnsi="Bookman Old Style" w:cs="Segoe UI"/>
          <w:b/>
          <w:bCs/>
        </w:rPr>
        <w:t> </w:t>
      </w:r>
    </w:p>
    <w:p w14:paraId="3DEACEA6" w14:textId="77777777" w:rsidR="00EA4F77" w:rsidRDefault="00EA4F77" w:rsidP="00E40629">
      <w:pPr>
        <w:pStyle w:val="paragraph"/>
        <w:spacing w:before="0" w:beforeAutospacing="0" w:after="0" w:afterAutospacing="0"/>
        <w:jc w:val="both"/>
        <w:textAlignment w:val="baseline"/>
        <w:rPr>
          <w:rFonts w:ascii="Segoe UI" w:hAnsi="Segoe UI" w:cs="Segoe UI"/>
          <w:b/>
          <w:bCs/>
          <w:sz w:val="18"/>
          <w:szCs w:val="18"/>
        </w:rPr>
      </w:pPr>
    </w:p>
    <w:p w14:paraId="2DD4DFC6" w14:textId="77777777"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el artículo 124 de la Ley 142 de 1994 establece que para determinar las fórmulas tarifarias se aplicarán las normas relativas al régimen tarifario de las empresas de servicios públicos previstas en la Ley, así como las normas del Código Contencioso Administrativo, hoy, CPACA.</w:t>
      </w:r>
      <w:r>
        <w:rPr>
          <w:rStyle w:val="eop"/>
          <w:rFonts w:ascii="Bookman Old Style" w:hAnsi="Bookman Old Style" w:cs="Segoe UI"/>
          <w:b/>
          <w:bCs/>
        </w:rPr>
        <w:t> </w:t>
      </w:r>
    </w:p>
    <w:p w14:paraId="5455A6FB" w14:textId="77777777" w:rsidR="00EA4F77" w:rsidRDefault="00EA4F77" w:rsidP="00E40629">
      <w:pPr>
        <w:pStyle w:val="paragraph"/>
        <w:spacing w:before="0" w:beforeAutospacing="0" w:after="0" w:afterAutospacing="0"/>
        <w:jc w:val="both"/>
        <w:textAlignment w:val="baseline"/>
        <w:rPr>
          <w:rFonts w:ascii="Segoe UI" w:hAnsi="Segoe UI" w:cs="Segoe UI"/>
          <w:b/>
          <w:bCs/>
          <w:sz w:val="18"/>
          <w:szCs w:val="18"/>
        </w:rPr>
      </w:pPr>
    </w:p>
    <w:p w14:paraId="5A9975D0" w14:textId="3E834A77"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En atención a la remisión normativa efectuada por la citada ley, todas las actuaciones administrativas deberán regirse por el procedimiento administrativo general contenido en el artículo 34 y siguientes de la Ley 1437 de 2011.</w:t>
      </w:r>
    </w:p>
    <w:p w14:paraId="4DCC7C17" w14:textId="77777777" w:rsidR="001E6C60" w:rsidRDefault="001E6C60" w:rsidP="00E40629">
      <w:pPr>
        <w:pStyle w:val="paragraph"/>
        <w:spacing w:before="0" w:beforeAutospacing="0" w:after="0" w:afterAutospacing="0"/>
        <w:jc w:val="both"/>
        <w:textAlignment w:val="baseline"/>
        <w:rPr>
          <w:rFonts w:ascii="Segoe UI" w:hAnsi="Segoe UI" w:cs="Segoe UI"/>
          <w:b/>
          <w:bCs/>
          <w:sz w:val="18"/>
          <w:szCs w:val="18"/>
        </w:rPr>
      </w:pPr>
    </w:p>
    <w:p w14:paraId="4C497FF5" w14:textId="77777777"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 xml:space="preserve">En aplicación de lo anterior, el pasado 4 de mayo de 2022,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formuló petición de modificación de la Resolución CREG 175 de 2021 por considerar que tal y como actualmente se encuentra aprobada, su aplicación lesiona abiertamente los intereses de los usuarios y potenciales usuarios, así como los derechos de las empresas.</w:t>
      </w:r>
      <w:r>
        <w:rPr>
          <w:rStyle w:val="eop"/>
          <w:rFonts w:ascii="Bookman Old Style" w:hAnsi="Bookman Old Style" w:cs="Segoe UI"/>
          <w:b/>
          <w:bCs/>
        </w:rPr>
        <w:t> </w:t>
      </w:r>
    </w:p>
    <w:p w14:paraId="45F7BFBC" w14:textId="77777777" w:rsidR="00EA4F77" w:rsidRDefault="00EA4F77" w:rsidP="00E40629">
      <w:pPr>
        <w:pStyle w:val="paragraph"/>
        <w:spacing w:before="0" w:beforeAutospacing="0" w:after="0" w:afterAutospacing="0"/>
        <w:jc w:val="both"/>
        <w:textAlignment w:val="baseline"/>
        <w:rPr>
          <w:rFonts w:ascii="Segoe UI" w:hAnsi="Segoe UI" w:cs="Segoe UI"/>
          <w:b/>
          <w:bCs/>
          <w:sz w:val="18"/>
          <w:szCs w:val="18"/>
        </w:rPr>
      </w:pPr>
    </w:p>
    <w:p w14:paraId="3ABEBA36" w14:textId="77777777"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 xml:space="preserve">En dicha solicitud se indicó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la imperante necesidad de suspender, entre otros, los artículos 7 y 27 de la Resolución CREG 175 de 2021 con el fin de que la CREG procediera, con la debida diligencia y responsabilidad, a analizar los argumentos expuestos por los agentes del mercado con el fin de corregir las deficiencias de la metodología o desvirtuar con base en criterios técnico – jurídicos y una suficiente motivación, la solicitud de modificación presentada, garantizando así, tanto el debido proceso, como la estabilidad jurídica y coherencia de la regulación.</w:t>
      </w:r>
      <w:r>
        <w:rPr>
          <w:rStyle w:val="eop"/>
          <w:rFonts w:ascii="Bookman Old Style" w:hAnsi="Bookman Old Style" w:cs="Segoe UI"/>
          <w:b/>
          <w:bCs/>
        </w:rPr>
        <w:t> </w:t>
      </w:r>
    </w:p>
    <w:p w14:paraId="37A86CB9" w14:textId="77777777" w:rsidR="00EA4F77" w:rsidRDefault="00EA4F77" w:rsidP="00E40629">
      <w:pPr>
        <w:pStyle w:val="paragraph"/>
        <w:spacing w:before="0" w:beforeAutospacing="0" w:after="0" w:afterAutospacing="0"/>
        <w:jc w:val="both"/>
        <w:textAlignment w:val="baseline"/>
        <w:rPr>
          <w:rFonts w:ascii="Segoe UI" w:hAnsi="Segoe UI" w:cs="Segoe UI"/>
          <w:b/>
          <w:bCs/>
          <w:sz w:val="18"/>
          <w:szCs w:val="18"/>
        </w:rPr>
      </w:pPr>
    </w:p>
    <w:p w14:paraId="41FA8C26" w14:textId="77777777" w:rsidR="00E40629" w:rsidRDefault="00E40629" w:rsidP="00E40629">
      <w:pPr>
        <w:pStyle w:val="paragraph"/>
        <w:spacing w:before="0" w:beforeAutospacing="0" w:after="0" w:afterAutospacing="0"/>
        <w:jc w:val="both"/>
        <w:textAlignment w:val="baseline"/>
        <w:rPr>
          <w:rStyle w:val="eop"/>
          <w:rFonts w:ascii="Bookman Old Style" w:hAnsi="Bookman Old Style" w:cs="Segoe UI"/>
          <w:b/>
          <w:bCs/>
        </w:rPr>
      </w:pPr>
      <w:r>
        <w:rPr>
          <w:rStyle w:val="normaltextrun"/>
          <w:rFonts w:ascii="Bookman Old Style" w:hAnsi="Bookman Old Style" w:cs="Segoe UI"/>
          <w:i/>
          <w:iCs/>
          <w:lang w:val="es-ES"/>
        </w:rPr>
        <w:t xml:space="preserve">Tal y como se indicó en el hecho 14 de este documento, la Comisión mediante documento CREG -102-008 de 23 de agosto de 2022 al referirse a los comentarios formulados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a la Resolución CREG 702-007 de 2022, señaló que las solicitudes de modificación de la metodología conforme al artículo 126 de la 142 de 1994, estaban en trámite en la Comisión y en su análisis se determinaría su necesidad y pertinencia. Así mismo señaló la importancia de análisis de las solicitudes de revisión de la metodología que están en trámite y que actualmente se están analizando para tomar una decisión al respecto.</w:t>
      </w:r>
      <w:r>
        <w:rPr>
          <w:rStyle w:val="eop"/>
          <w:rFonts w:ascii="Bookman Old Style" w:hAnsi="Bookman Old Style" w:cs="Segoe UI"/>
          <w:b/>
          <w:bCs/>
        </w:rPr>
        <w:t> </w:t>
      </w:r>
    </w:p>
    <w:p w14:paraId="3E7E323C" w14:textId="77777777" w:rsidR="00EA4F77" w:rsidRDefault="00EA4F77" w:rsidP="00E40629">
      <w:pPr>
        <w:pStyle w:val="paragraph"/>
        <w:spacing w:before="0" w:beforeAutospacing="0" w:after="0" w:afterAutospacing="0"/>
        <w:jc w:val="both"/>
        <w:textAlignment w:val="baseline"/>
        <w:rPr>
          <w:rFonts w:ascii="Segoe UI" w:hAnsi="Segoe UI" w:cs="Segoe UI"/>
          <w:b/>
          <w:bCs/>
          <w:sz w:val="18"/>
          <w:szCs w:val="18"/>
        </w:rPr>
      </w:pPr>
    </w:p>
    <w:p w14:paraId="43DF622D" w14:textId="77777777" w:rsidR="00E40629" w:rsidRDefault="00E40629" w:rsidP="00E40629">
      <w:pPr>
        <w:pStyle w:val="paragraph"/>
        <w:spacing w:before="0" w:beforeAutospacing="0" w:after="0" w:afterAutospacing="0"/>
        <w:jc w:val="both"/>
        <w:textAlignment w:val="baseline"/>
        <w:rPr>
          <w:rFonts w:ascii="Segoe UI" w:hAnsi="Segoe UI" w:cs="Segoe UI"/>
          <w:b/>
          <w:bCs/>
          <w:sz w:val="18"/>
          <w:szCs w:val="18"/>
        </w:rPr>
      </w:pPr>
      <w:r>
        <w:rPr>
          <w:rStyle w:val="normaltextrun"/>
          <w:rFonts w:ascii="Bookman Old Style" w:hAnsi="Bookman Old Style" w:cs="Segoe UI"/>
          <w:i/>
          <w:iCs/>
          <w:lang w:val="es-ES"/>
        </w:rPr>
        <w:t xml:space="preserve">Con base en lo expuesto, resulta claro que a la luz del artículo 124 en concordancia con el artículo 126 de la Ley 142 de 1994 nace la obligación correspondiente de la entidad pública de adelantar un procedimiento administrativo en el cual se dé respuesta de fondo a la solicitud de modificación de la metodología de transporte, dando inicio formal y publicidad de la misma, a través del correspondiente auto y publicación en el Diario Oficial con el fin de poner en conocimiento del público en general, la solicitud presentada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bien sea para presentar argumentos </w:t>
      </w:r>
      <w:r>
        <w:rPr>
          <w:rStyle w:val="normaltextrun"/>
          <w:rFonts w:ascii="Bookman Old Style" w:hAnsi="Bookman Old Style" w:cs="Segoe UI"/>
          <w:i/>
          <w:iCs/>
          <w:lang w:val="es-ES"/>
        </w:rPr>
        <w:lastRenderedPageBreak/>
        <w:t>tanto a favor como en contra de la misma, insumo que sería de gran utilidad para el debate y análisis al interior de la Comisión.</w:t>
      </w:r>
      <w:r>
        <w:rPr>
          <w:rStyle w:val="eop"/>
          <w:rFonts w:ascii="Bookman Old Style" w:hAnsi="Bookman Old Style" w:cs="Segoe UI"/>
          <w:b/>
          <w:bCs/>
        </w:rPr>
        <w:t> </w:t>
      </w:r>
    </w:p>
    <w:p w14:paraId="6BC6200D" w14:textId="5AA68CB3" w:rsidR="00E40629" w:rsidRDefault="00E40629" w:rsidP="00E40629">
      <w:pPr>
        <w:pStyle w:val="paragraph"/>
        <w:spacing w:before="0" w:beforeAutospacing="0" w:after="0" w:afterAutospacing="0"/>
        <w:jc w:val="both"/>
        <w:textAlignment w:val="baseline"/>
        <w:rPr>
          <w:rFonts w:ascii="Segoe UI" w:hAnsi="Segoe UI" w:cs="Segoe UI"/>
          <w:b/>
          <w:bCs/>
          <w:sz w:val="18"/>
          <w:szCs w:val="18"/>
        </w:rPr>
      </w:pPr>
      <w:r>
        <w:rPr>
          <w:rStyle w:val="normaltextrun"/>
          <w:rFonts w:ascii="Bookman Old Style" w:hAnsi="Bookman Old Style" w:cs="Segoe UI"/>
          <w:i/>
          <w:iCs/>
          <w:lang w:val="es-ES"/>
        </w:rPr>
        <w:t>(…)</w:t>
      </w:r>
      <w:r>
        <w:rPr>
          <w:rStyle w:val="eop"/>
          <w:rFonts w:ascii="Bookman Old Style" w:hAnsi="Bookman Old Style" w:cs="Segoe UI"/>
          <w:b/>
          <w:bCs/>
        </w:rPr>
        <w:t> </w:t>
      </w:r>
    </w:p>
    <w:p w14:paraId="134C2FF4" w14:textId="77777777" w:rsidR="00DA2FD1" w:rsidRDefault="00DA2FD1"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2AC88C68" w14:textId="6DF60C8B" w:rsidR="00E40629" w:rsidRDefault="00E40629" w:rsidP="00E40629">
      <w:pPr>
        <w:pStyle w:val="paragraph"/>
        <w:spacing w:before="0" w:beforeAutospacing="0" w:after="0" w:afterAutospacing="0"/>
        <w:jc w:val="both"/>
        <w:textAlignment w:val="baseline"/>
        <w:rPr>
          <w:rFonts w:ascii="Segoe UI" w:hAnsi="Segoe UI" w:cs="Segoe UI"/>
          <w:b/>
          <w:bCs/>
          <w:sz w:val="18"/>
          <w:szCs w:val="18"/>
        </w:rPr>
      </w:pPr>
      <w:r>
        <w:rPr>
          <w:rStyle w:val="normaltextrun"/>
          <w:rFonts w:ascii="Bookman Old Style" w:hAnsi="Bookman Old Style" w:cs="Segoe UI"/>
          <w:i/>
          <w:iCs/>
          <w:lang w:val="es-ES"/>
        </w:rPr>
        <w:t xml:space="preserve">admitir que con la comunicación remitida a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con ocasión de la solicitud encaminada a obtener las razones de la confidencialidad argüida por TGI en cuanto a la información de su expediente tarifario –que dicho sea de paso, no fue atendida en debida forma por la CREG- se entiende resuelta la solicitud de modificación a la metodología formulada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desconoce los actos propios de la misma Comisión y vulnera el principio de igualdad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lo anterior, teniendo en cuenta entre muchos otros argumentos, que solicitudes presentadas en anteriores oportunidades, tendientes a verificar la existencia de los supuestos consagrados en el artículo 126 de la Ley 142 de 1994, han sido analizadas al interior de actuaciones administrativas promovidas de oficio o a petición de parte.</w:t>
      </w:r>
      <w:r>
        <w:rPr>
          <w:rStyle w:val="eop"/>
          <w:rFonts w:ascii="Bookman Old Style" w:hAnsi="Bookman Old Style" w:cs="Segoe UI"/>
          <w:b/>
          <w:bCs/>
        </w:rPr>
        <w:t> </w:t>
      </w:r>
    </w:p>
    <w:p w14:paraId="21390735" w14:textId="77777777" w:rsidR="004073D1" w:rsidRDefault="004073D1"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6ABF4B05" w14:textId="10D046CE" w:rsidR="00E40629" w:rsidRDefault="00E40629" w:rsidP="00E40629">
      <w:pPr>
        <w:pStyle w:val="paragraph"/>
        <w:spacing w:before="0" w:beforeAutospacing="0" w:after="0" w:afterAutospacing="0"/>
        <w:jc w:val="both"/>
        <w:textAlignment w:val="baseline"/>
        <w:rPr>
          <w:rFonts w:ascii="Segoe UI" w:hAnsi="Segoe UI" w:cs="Segoe UI"/>
          <w:b/>
          <w:bCs/>
          <w:sz w:val="18"/>
          <w:szCs w:val="18"/>
        </w:rPr>
      </w:pPr>
      <w:r>
        <w:rPr>
          <w:rStyle w:val="normaltextrun"/>
          <w:rFonts w:ascii="Bookman Old Style" w:hAnsi="Bookman Old Style" w:cs="Segoe UI"/>
          <w:i/>
          <w:iCs/>
          <w:lang w:val="es-ES"/>
        </w:rPr>
        <w:t xml:space="preserve">Con base en lo anterior, la CREG vulneró el derecho de petición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al estar en mora de dar respuesta de fondo a la solicitud de modificación tarifaria presentada, por lo que -se reitera- deberá promover la respectiva actuación administrativa con el fin de satisfacer la petición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y de las demás empresas solicitantes, exponiendo las razones por las cuales al parecer -según sus posteriores actuaciones-, los argumentos expuestos no constituyen una lesión a los intereses de los usuarios y las empresas y las razones por las que decidió omitir las reiteradas solicitudes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encaminadas a suspender la aplicación de la metodología de transporte, así como cualquier actuación administrativa derivada de ésta.”</w:t>
      </w:r>
      <w:r>
        <w:rPr>
          <w:rStyle w:val="eop"/>
          <w:rFonts w:ascii="Bookman Old Style" w:hAnsi="Bookman Old Style" w:cs="Segoe UI"/>
          <w:b/>
          <w:bCs/>
        </w:rPr>
        <w:t> </w:t>
      </w:r>
    </w:p>
    <w:p w14:paraId="47ADE578" w14:textId="77777777" w:rsidR="00E40629" w:rsidRDefault="00E40629" w:rsidP="00E40629">
      <w:pPr>
        <w:pStyle w:val="paragraph"/>
        <w:spacing w:before="0" w:beforeAutospacing="0" w:after="0" w:afterAutospacing="0"/>
        <w:ind w:firstLine="705"/>
        <w:jc w:val="both"/>
        <w:textAlignment w:val="baseline"/>
        <w:rPr>
          <w:rFonts w:ascii="Segoe UI" w:hAnsi="Segoe UI" w:cs="Segoe UI"/>
          <w:b/>
          <w:bCs/>
          <w:sz w:val="18"/>
          <w:szCs w:val="18"/>
        </w:rPr>
      </w:pPr>
      <w:r>
        <w:rPr>
          <w:rStyle w:val="eop"/>
          <w:b/>
          <w:bCs/>
        </w:rPr>
        <w:t> </w:t>
      </w:r>
    </w:p>
    <w:p w14:paraId="2DDDA3F4" w14:textId="79963132" w:rsidR="00E40629" w:rsidRPr="001A3546" w:rsidRDefault="00E40629" w:rsidP="001A3546">
      <w:pPr>
        <w:pStyle w:val="paragraph"/>
        <w:numPr>
          <w:ilvl w:val="0"/>
          <w:numId w:val="11"/>
        </w:numPr>
        <w:spacing w:before="0" w:beforeAutospacing="0" w:after="0" w:afterAutospacing="0"/>
        <w:ind w:firstLine="0"/>
        <w:jc w:val="both"/>
        <w:textAlignment w:val="baseline"/>
        <w:rPr>
          <w:rStyle w:val="normaltextrun"/>
          <w:rFonts w:ascii="Bookman Old Style" w:hAnsi="Bookman Old Style"/>
          <w:b/>
          <w:i/>
          <w:lang w:val="es-ES"/>
        </w:rPr>
      </w:pPr>
      <w:r w:rsidRPr="001A3546">
        <w:rPr>
          <w:rStyle w:val="normaltextrun"/>
          <w:rFonts w:ascii="Bookman Old Style" w:hAnsi="Bookman Old Style" w:cs="Segoe UI"/>
          <w:b/>
          <w:i/>
          <w:lang w:val="es-ES"/>
        </w:rPr>
        <w:t xml:space="preserve">Violación al derecho al debido proceso de </w:t>
      </w:r>
      <w:proofErr w:type="spellStart"/>
      <w:r w:rsidRPr="001A3546">
        <w:rPr>
          <w:rStyle w:val="normaltextrun"/>
          <w:rFonts w:ascii="Bookman Old Style" w:hAnsi="Bookman Old Style" w:cs="Segoe UI"/>
          <w:b/>
          <w:i/>
          <w:lang w:val="es-ES"/>
        </w:rPr>
        <w:t>Vanti</w:t>
      </w:r>
      <w:proofErr w:type="spellEnd"/>
      <w:r w:rsidRPr="001A3546">
        <w:rPr>
          <w:rStyle w:val="normaltextrun"/>
          <w:rFonts w:ascii="Bookman Old Style" w:hAnsi="Bookman Old Style" w:cs="Segoe UI"/>
          <w:b/>
          <w:i/>
          <w:lang w:val="es-ES"/>
        </w:rPr>
        <w:t xml:space="preserve"> – Vía de hecho administrativa – Conexidad entre causas.</w:t>
      </w:r>
      <w:r w:rsidRPr="001A3546">
        <w:rPr>
          <w:rStyle w:val="normaltextrun"/>
          <w:b/>
          <w:i/>
          <w:lang w:val="es-ES"/>
        </w:rPr>
        <w:t> </w:t>
      </w:r>
    </w:p>
    <w:p w14:paraId="17ACE15A" w14:textId="77777777" w:rsidR="00E01521" w:rsidRDefault="00E01521" w:rsidP="00E40629">
      <w:pPr>
        <w:pStyle w:val="paragraph"/>
        <w:spacing w:before="0" w:beforeAutospacing="0" w:after="0" w:afterAutospacing="0"/>
        <w:jc w:val="both"/>
        <w:textAlignment w:val="baseline"/>
        <w:rPr>
          <w:rStyle w:val="normaltextrun"/>
          <w:rFonts w:ascii="Bookman Old Style" w:hAnsi="Bookman Old Style" w:cs="Segoe UI"/>
          <w:b/>
          <w:bCs/>
        </w:rPr>
      </w:pPr>
    </w:p>
    <w:p w14:paraId="2AE7998A" w14:textId="033C5C24"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rPr>
        <w:t xml:space="preserve">2.1. Violación al derecho al debido proceso de </w:t>
      </w:r>
      <w:proofErr w:type="spellStart"/>
      <w:r>
        <w:rPr>
          <w:rStyle w:val="normaltextrun"/>
          <w:rFonts w:ascii="Bookman Old Style" w:hAnsi="Bookman Old Style" w:cs="Segoe UI"/>
          <w:i/>
          <w:iCs/>
        </w:rPr>
        <w:t>Vanti</w:t>
      </w:r>
      <w:proofErr w:type="spellEnd"/>
      <w:r>
        <w:rPr>
          <w:rStyle w:val="eop"/>
          <w:rFonts w:ascii="Bookman Old Style" w:hAnsi="Bookman Old Style" w:cs="Segoe UI"/>
        </w:rPr>
        <w:t> </w:t>
      </w:r>
    </w:p>
    <w:p w14:paraId="11FA0B11" w14:textId="77777777"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rPr>
        <w:t>Con la expedición de la Resolución CREG 502 024 de 2022, la CREG vulneró el principio al debido proceso consagrado en el artículo 29 de la Constitución Política de Colombia en concordancia con el artículo 3 de la Ley 1437 de 2011. Lo anterior debido a que, como postulado previo a la decisión adoptada y en garantía de este derecho fundamental, la CREG omitió resolver la solicitud de modificación tarifaria solicitada de conformidad con lo previsto en el artículo 126 de la Ley 142 de 1994 modificada a su vez por el artículo 52 de la Ley 2099 de 2021.</w:t>
      </w:r>
      <w:r>
        <w:rPr>
          <w:rStyle w:val="eop"/>
          <w:rFonts w:ascii="Bookman Old Style" w:hAnsi="Bookman Old Style" w:cs="Segoe UI"/>
        </w:rPr>
        <w:t> </w:t>
      </w:r>
    </w:p>
    <w:p w14:paraId="4864788D" w14:textId="77777777" w:rsidR="00B3563A" w:rsidRDefault="00B3563A" w:rsidP="00E40629">
      <w:pPr>
        <w:pStyle w:val="paragraph"/>
        <w:spacing w:before="0" w:beforeAutospacing="0" w:after="0" w:afterAutospacing="0"/>
        <w:jc w:val="both"/>
        <w:textAlignment w:val="baseline"/>
        <w:rPr>
          <w:rStyle w:val="normaltextrun"/>
          <w:rFonts w:ascii="Bookman Old Style" w:hAnsi="Bookman Old Style" w:cs="Segoe UI"/>
          <w:i/>
          <w:iCs/>
        </w:rPr>
      </w:pPr>
    </w:p>
    <w:p w14:paraId="40874D0A" w14:textId="70C81F44"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rPr>
        <w:t xml:space="preserve">Aun cuando de forma reiterada el recurrente insistió en varios de sus escritos sobre la importancia de referirse de fondo a la solicitud de modificaciones a la metodología de transporte por ser lesivas frente a los derechos de los usuarios actuales y potenciales, así como de los derechos de las empresas, la CREG tomó la determinación de continuar con las actuaciones administrativas de actualización de cargos de transporte; y para efectos de este recurso, con la presentada por TGI. Esto vulneró los derechos de </w:t>
      </w:r>
      <w:proofErr w:type="spellStart"/>
      <w:r>
        <w:rPr>
          <w:rStyle w:val="normaltextrun"/>
          <w:rFonts w:ascii="Bookman Old Style" w:hAnsi="Bookman Old Style" w:cs="Segoe UI"/>
          <w:i/>
          <w:iCs/>
        </w:rPr>
        <w:t>Vanti</w:t>
      </w:r>
      <w:proofErr w:type="spellEnd"/>
      <w:r>
        <w:rPr>
          <w:rStyle w:val="normaltextrun"/>
          <w:rFonts w:ascii="Bookman Old Style" w:hAnsi="Bookman Old Style" w:cs="Segoe UI"/>
          <w:i/>
          <w:iCs/>
        </w:rPr>
        <w:t xml:space="preserve"> reconocida como tercero interesado dentro de la actuación, calidad con la cual ésta la cual goza de igualdad de condiciones y de todas las prerrogativas procesales dentro de la actuación administrativa, las cuales además fueron desconocidas al no concedérsele respuesta satisfactoria a la solicitud de exponer las razones por las que la CREG aceptaba la confidencialidad de la información contenida en el expediente tarifario, según los argumentos – que desconocemos- presentó TGI.</w:t>
      </w:r>
      <w:r>
        <w:rPr>
          <w:rStyle w:val="eop"/>
          <w:rFonts w:ascii="Bookman Old Style" w:hAnsi="Bookman Old Style" w:cs="Segoe UI"/>
        </w:rPr>
        <w:t> </w:t>
      </w:r>
    </w:p>
    <w:p w14:paraId="7F16DCE0" w14:textId="77777777" w:rsidR="00CA2F87" w:rsidRDefault="00CA2F8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21A34583" w14:textId="78D42EDD"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Pr>
          <w:rStyle w:val="eop"/>
          <w:rFonts w:ascii="Bookman Old Style" w:hAnsi="Bookman Old Style" w:cs="Segoe UI"/>
        </w:rPr>
        <w:t> </w:t>
      </w:r>
    </w:p>
    <w:p w14:paraId="0546C3AB" w14:textId="77777777" w:rsidR="00F411C8" w:rsidRDefault="00F411C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0FAE7401" w14:textId="654438E0"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la solicitud de modificación efectuada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–que se reitera hasta ahora no ha sido atendida ni resuelta de manera expresa por la CREG- incluía la suspensión de las actuaciones administrativas que en aplicación de lo dispuesto en la Resolución CREG 175 de 2021 y sus disposiciones complementarias, hubieren podido iniciar, así como la aplicación de las resoluciones 099 y 231 de 2021 mediante las que se aplicó el artículo 14 de la Resolución CREG 126 de 2010 en los gasoductos y estaciones de compresión que cumplieron su vida útil normativa.</w:t>
      </w:r>
      <w:r>
        <w:rPr>
          <w:rStyle w:val="eop"/>
          <w:rFonts w:ascii="Bookman Old Style" w:hAnsi="Bookman Old Style" w:cs="Segoe UI"/>
        </w:rPr>
        <w:t> </w:t>
      </w:r>
    </w:p>
    <w:p w14:paraId="16BAE831" w14:textId="77777777" w:rsidR="00B3563A" w:rsidRDefault="00B3563A"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548D7FA6" w14:textId="5647ACBE" w:rsidR="00F411C8" w:rsidRDefault="00E40629" w:rsidP="00D42104">
      <w:pPr>
        <w:pStyle w:val="paragraph"/>
        <w:spacing w:before="120" w:beforeAutospacing="0" w:after="120" w:afterAutospacing="0"/>
        <w:jc w:val="both"/>
        <w:textAlignment w:val="baseline"/>
        <w:rPr>
          <w:rStyle w:val="normaltextrun"/>
          <w:rFonts w:ascii="Bookman Old Style" w:hAnsi="Bookman Old Style" w:cs="Segoe UI"/>
          <w:i/>
          <w:iCs/>
          <w:lang w:val="es-ES"/>
        </w:rPr>
      </w:pPr>
      <w:r>
        <w:rPr>
          <w:rStyle w:val="normaltextrun"/>
          <w:rFonts w:ascii="Bookman Old Style" w:hAnsi="Bookman Old Style" w:cs="Segoe UI"/>
          <w:i/>
          <w:iCs/>
          <w:lang w:val="es-ES"/>
        </w:rPr>
        <w:t xml:space="preserve">Se reitera que en el documento denominado “Análisis de comentarios Resolución CREG 702 -007 de 2022”, en el cual la Comisión responde los comentarios formulados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indicó la CREG que “Las solicitudes de modificación de la metodología conforme al artículo 126 de la 142 de 1994, están en trámite en la Comisión y en su análisis se determinará su necesidad y pertinencia. Por otra parte, la decisión de modificación de la resolución en los plazos para aplicar los diferentes momentos de actualización de cargos se hace con la finalidad de viabilizar su aplicación sobre la norma vigente. Esta Comisión no desconoce la importancia de análisis de las solicitudes de revisión de la metodología que están en trámite y actualmente se están analizando para tomar una decisión al respecto. </w:t>
      </w:r>
    </w:p>
    <w:p w14:paraId="32A513CB" w14:textId="448A1BFB"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p>
    <w:p w14:paraId="01F52CE4" w14:textId="1FADBE76"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Como se observa, sorprende que siendo consciente la propia Comisión sobre la importancia de la revisión de las solicitudes de modificación presentadas sobre la metodología y el correspondiente impacto que tendría en el análisis de las solicitudes de actualización de cargos de transporte, decide sin justificación alguna, abstenerse de pronunciarse sobre la solicitud, vulnerando los derechos de los usuarios, de los eventuales interesados en el trámite de la actuación administrativa que no ha iniciado, así como los derechos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tercero interesado en la actuación desatada en la resolución que se recurre, quien fuere una de las sociedades que formuló la petición de modificación tarifaria </w:t>
      </w:r>
      <w:proofErr w:type="spellStart"/>
      <w:r>
        <w:rPr>
          <w:rStyle w:val="normaltextrun"/>
          <w:rFonts w:ascii="Bookman Old Style" w:hAnsi="Bookman Old Style" w:cs="Segoe UI"/>
          <w:i/>
          <w:iCs/>
          <w:lang w:val="es-ES"/>
        </w:rPr>
        <w:t>inatendida</w:t>
      </w:r>
      <w:proofErr w:type="spellEnd"/>
      <w:r>
        <w:rPr>
          <w:rStyle w:val="normaltextrun"/>
          <w:rFonts w:ascii="Bookman Old Style" w:hAnsi="Bookman Old Style" w:cs="Segoe UI"/>
          <w:i/>
          <w:iCs/>
          <w:lang w:val="es-ES"/>
        </w:rPr>
        <w:t>.</w:t>
      </w:r>
      <w:r>
        <w:rPr>
          <w:rStyle w:val="eop"/>
          <w:rFonts w:ascii="Bookman Old Style" w:hAnsi="Bookman Old Style" w:cs="Segoe UI"/>
        </w:rPr>
        <w:t> </w:t>
      </w:r>
    </w:p>
    <w:p w14:paraId="6E1C1988" w14:textId="77777777" w:rsidR="00F95D6F" w:rsidRDefault="00F95D6F"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35C7C7A6" w14:textId="0B738C71"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Téngase en cuenta que la solicitud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fue presentada desde el 4 de mayo de 2022, fecha anterior a la iniciación de la actuación administrativa de actualización de cargos de transporte en favor de TGI, ordenada mediante Auto I-2022-006628 de 29 de junio de 2022, luego no se entiende la motivación de la entidad de dar trámite a actuaciones administrativas, cuando existe una petición de modificación de la Resolución CREG 175 de 2021 que podría afectar el análisis y conclusiones de éstas.</w:t>
      </w:r>
      <w:r>
        <w:rPr>
          <w:rStyle w:val="eop"/>
          <w:rFonts w:ascii="Bookman Old Style" w:hAnsi="Bookman Old Style" w:cs="Segoe UI"/>
        </w:rPr>
        <w:t> </w:t>
      </w:r>
    </w:p>
    <w:p w14:paraId="1CF2A3A2" w14:textId="77777777" w:rsidR="00F95D6F" w:rsidRDefault="00F95D6F"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4C42F436" w14:textId="4E869AEF" w:rsidR="00E40629" w:rsidRDefault="00E40629" w:rsidP="00E40629">
      <w:pPr>
        <w:pStyle w:val="paragraph"/>
        <w:spacing w:before="0" w:beforeAutospacing="0" w:after="0" w:afterAutospacing="0"/>
        <w:jc w:val="both"/>
        <w:textAlignment w:val="baseline"/>
        <w:rPr>
          <w:rStyle w:val="eop"/>
          <w:rFonts w:ascii="Bookman Old Style" w:hAnsi="Bookman Old Style" w:cs="Segoe UI"/>
        </w:rPr>
      </w:pPr>
      <w:r>
        <w:rPr>
          <w:rStyle w:val="normaltextrun"/>
          <w:rFonts w:ascii="Bookman Old Style" w:hAnsi="Bookman Old Style" w:cs="Segoe UI"/>
          <w:i/>
          <w:iCs/>
          <w:lang w:val="es-ES"/>
        </w:rPr>
        <w:t>Con lo indicado hasta ahora, resulta clara la obligatoriedad de la CREG de adelantar una actuación administrativa que resuelva la solicitud de aplicación del artículo 126 de la Ley 142 de 1994 y, una vez concluido dicho procedimiento con la resolución del recurso que eventualmente pudiere formularse contra la decisión que se adopte, sí proceder con el análisis de fondo de la solicitud de actualización de cargos presentada por los transportadores, incluido TGI.</w:t>
      </w:r>
      <w:r>
        <w:rPr>
          <w:rStyle w:val="eop"/>
          <w:rFonts w:ascii="Bookman Old Style" w:hAnsi="Bookman Old Style" w:cs="Segoe UI"/>
        </w:rPr>
        <w:t> </w:t>
      </w:r>
    </w:p>
    <w:p w14:paraId="3C07AC89" w14:textId="77777777" w:rsidR="00CF3066" w:rsidRDefault="00CF3066" w:rsidP="00E40629">
      <w:pPr>
        <w:pStyle w:val="paragraph"/>
        <w:spacing w:before="0" w:beforeAutospacing="0" w:after="0" w:afterAutospacing="0"/>
        <w:jc w:val="both"/>
        <w:textAlignment w:val="baseline"/>
        <w:rPr>
          <w:rFonts w:ascii="Segoe UI" w:hAnsi="Segoe UI" w:cs="Segoe UI"/>
          <w:sz w:val="18"/>
          <w:szCs w:val="18"/>
        </w:rPr>
      </w:pPr>
    </w:p>
    <w:p w14:paraId="3F9FA258" w14:textId="1DAE0372" w:rsidR="00E40629" w:rsidRDefault="00E40629"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r>
        <w:rPr>
          <w:rStyle w:val="normaltextrun"/>
          <w:rFonts w:ascii="Bookman Old Style" w:hAnsi="Bookman Old Style" w:cs="Segoe UI"/>
          <w:i/>
          <w:iCs/>
          <w:lang w:val="es-ES"/>
        </w:rPr>
        <w:t xml:space="preserve">Con lo expuesto, es evidente que la CREG violó el debido proceso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al expedir la Resolución 502 024 de 2022 (15 de julio), soportada en la aplicación del 14 de la Resolución 126 de 2010, el artículo 7 de la Resolución 175 de 2021 así </w:t>
      </w:r>
      <w:r>
        <w:rPr>
          <w:rStyle w:val="normaltextrun"/>
          <w:rFonts w:ascii="Bookman Old Style" w:hAnsi="Bookman Old Style" w:cs="Segoe UI"/>
          <w:i/>
          <w:iCs/>
          <w:lang w:val="es-ES"/>
        </w:rPr>
        <w:lastRenderedPageBreak/>
        <w:t>como de las resoluciones 099 y 231 de 2021, sin que se hubiera decidido de fondo la solicitud de modificación de la Resolución CREG 175 de 2021.</w:t>
      </w:r>
    </w:p>
    <w:p w14:paraId="67F6D79E" w14:textId="77777777" w:rsidR="00F95D6F" w:rsidRDefault="00F95D6F" w:rsidP="00E40629">
      <w:pPr>
        <w:pStyle w:val="paragraph"/>
        <w:spacing w:before="0" w:beforeAutospacing="0" w:after="0" w:afterAutospacing="0"/>
        <w:jc w:val="both"/>
        <w:textAlignment w:val="baseline"/>
        <w:rPr>
          <w:rStyle w:val="normaltextrun"/>
          <w:rFonts w:ascii="Bookman Old Style" w:hAnsi="Bookman Old Style" w:cs="Segoe UI"/>
          <w:b/>
          <w:bCs/>
        </w:rPr>
      </w:pPr>
    </w:p>
    <w:p w14:paraId="1BF019B0" w14:textId="1AAA4CF1"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eop"/>
          <w:rFonts w:ascii="Bookman Old Style" w:hAnsi="Bookman Old Style" w:cs="Segoe UI"/>
        </w:rPr>
        <w:t> </w:t>
      </w:r>
      <w:r>
        <w:rPr>
          <w:rStyle w:val="normaltextrun"/>
          <w:rFonts w:ascii="Bookman Old Style" w:hAnsi="Bookman Old Style" w:cs="Segoe UI"/>
          <w:i/>
          <w:iCs/>
          <w:lang w:val="es-ES"/>
        </w:rPr>
        <w:t>2.2. Vía de hecho Administrativa como violación al debido proceso</w:t>
      </w:r>
      <w:r>
        <w:rPr>
          <w:rStyle w:val="eop"/>
          <w:rFonts w:ascii="Bookman Old Style" w:hAnsi="Bookman Old Style" w:cs="Segoe UI"/>
        </w:rPr>
        <w:t> </w:t>
      </w:r>
    </w:p>
    <w:p w14:paraId="6516323A" w14:textId="629BEE76" w:rsidR="00E40629" w:rsidRDefault="00E40629" w:rsidP="00E40629">
      <w:pPr>
        <w:pStyle w:val="paragraph"/>
        <w:spacing w:before="0" w:beforeAutospacing="0" w:after="0" w:afterAutospacing="0"/>
        <w:ind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 consideramos que la omisión deliberada de la Comisión de no promover una actuación necesaria y conexa a la resolución recurrida constituye una vía de hecho administrativa, al sustraerse de su obligación legal de atender en debida forma las peticiones que le fueron formuladas que, para el caso concreto, recae sobre una petición de interés general que puede además afectar a los demás agentes del sector, la competitividad del gas natural y más grave aún a los usuarios del servicio.</w:t>
      </w:r>
      <w:r>
        <w:rPr>
          <w:rStyle w:val="eop"/>
          <w:rFonts w:ascii="Bookman Old Style" w:hAnsi="Bookman Old Style" w:cs="Segoe UI"/>
          <w:b/>
          <w:bCs/>
        </w:rPr>
        <w:t> </w:t>
      </w:r>
    </w:p>
    <w:p w14:paraId="6E9AB9FE" w14:textId="77777777" w:rsidR="00F95D6F" w:rsidRDefault="00F95D6F"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1F91CB3E" w14:textId="20C98908" w:rsidR="00E40629" w:rsidRDefault="00E40629" w:rsidP="00E40629">
      <w:pPr>
        <w:pStyle w:val="paragraph"/>
        <w:spacing w:before="0" w:beforeAutospacing="0" w:after="0" w:afterAutospacing="0"/>
        <w:ind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Nótese que, de acuerdo con la posición de la jurisprudencia, es deber de la administración cumplir una serie de actos que pueden guardar una relación directa o indirecta con el objeto de la actuación administrativa, es decir, deberá procurar que sus actuaciones sean coherentes y coordinadas con los demás procedimientos administrativos de conocimiento de la entidad.</w:t>
      </w:r>
      <w:r>
        <w:rPr>
          <w:rStyle w:val="eop"/>
          <w:rFonts w:ascii="Bookman Old Style" w:hAnsi="Bookman Old Style" w:cs="Segoe UI"/>
          <w:b/>
          <w:bCs/>
        </w:rPr>
        <w:t> </w:t>
      </w:r>
    </w:p>
    <w:p w14:paraId="3A2DC92B" w14:textId="77777777" w:rsidR="00F95D6F" w:rsidRDefault="00F95D6F"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372EB9C7" w14:textId="06746405" w:rsidR="00E40629" w:rsidRDefault="00E40629" w:rsidP="00E40629">
      <w:pPr>
        <w:pStyle w:val="paragraph"/>
        <w:spacing w:before="0" w:beforeAutospacing="0" w:after="0" w:afterAutospacing="0"/>
        <w:ind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Aunado a lo anterior, esto tiene una relación directa con los principios rectores de la función administrativa y los del procedimiento administrativo general contenidos el artículo 3 de la Ley 489 de 1998 en concordancia con el artículo 3 de la Ley 1437 de 2011 respectivamente, en particular los que se refieren a la economía, eficacia y participación que debe regir el actuar de la administración.</w:t>
      </w:r>
      <w:r>
        <w:rPr>
          <w:rStyle w:val="eop"/>
          <w:rFonts w:ascii="Bookman Old Style" w:hAnsi="Bookman Old Style" w:cs="Segoe UI"/>
          <w:b/>
          <w:bCs/>
        </w:rPr>
        <w:t> </w:t>
      </w:r>
    </w:p>
    <w:p w14:paraId="4DFA6CAD" w14:textId="77777777" w:rsidR="00F95D6F" w:rsidRDefault="00F95D6F"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133FB108" w14:textId="29A8A72C" w:rsidR="00E40629" w:rsidRDefault="00E40629" w:rsidP="000E1D36">
      <w:pPr>
        <w:pStyle w:val="paragraph"/>
        <w:spacing w:before="0" w:beforeAutospacing="0" w:after="0" w:afterAutospacing="0"/>
        <w:ind w:right="270"/>
        <w:jc w:val="both"/>
        <w:textAlignment w:val="baseline"/>
        <w:rPr>
          <w:rStyle w:val="normaltextrun"/>
          <w:rFonts w:ascii="Bookman Old Style" w:hAnsi="Bookman Old Style" w:cs="Segoe UI"/>
          <w:b/>
          <w:bCs/>
        </w:rPr>
      </w:pPr>
      <w:r>
        <w:rPr>
          <w:rStyle w:val="normaltextrun"/>
          <w:rFonts w:ascii="Bookman Old Style" w:hAnsi="Bookman Old Style" w:cs="Segoe UI"/>
          <w:i/>
          <w:iCs/>
          <w:lang w:val="es-ES"/>
        </w:rPr>
        <w:t>Con base en lo anterior, consideramos que con la expedición de la Resolución 502 024 de 2022 la CREG incurrió en una vía de hecho administrativa pues actuó de manera arbitraria al desconocer que existía previamente una solicitud de modificación tarifaria que merecía un pronunciamiento previo y que, de ser procedente, tendría la virtualidad de afectar la valoración de las solicitudes de actualización de los cargos de transporte y los impactos económicos derivados de la misma.</w:t>
      </w:r>
    </w:p>
    <w:p w14:paraId="557B071B" w14:textId="77777777" w:rsidR="000E1D36" w:rsidRDefault="000E1D36" w:rsidP="000E1D36">
      <w:pPr>
        <w:pStyle w:val="paragraph"/>
        <w:spacing w:before="0" w:beforeAutospacing="0" w:after="0" w:afterAutospacing="0"/>
        <w:ind w:right="270"/>
        <w:jc w:val="both"/>
        <w:textAlignment w:val="baseline"/>
        <w:rPr>
          <w:rFonts w:ascii="Segoe UI" w:hAnsi="Segoe UI" w:cs="Segoe UI"/>
          <w:b/>
          <w:bCs/>
          <w:sz w:val="18"/>
          <w:szCs w:val="18"/>
        </w:rPr>
      </w:pPr>
    </w:p>
    <w:p w14:paraId="0D7736AF" w14:textId="5EFEC6EF"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2.3. Violación al principio de prejudicialidad – conexidad entre causas</w:t>
      </w:r>
      <w:r>
        <w:rPr>
          <w:rStyle w:val="eop"/>
          <w:rFonts w:ascii="Bookman Old Style" w:hAnsi="Bookman Old Style" w:cs="Segoe UI"/>
        </w:rPr>
        <w:t> </w:t>
      </w:r>
    </w:p>
    <w:p w14:paraId="25EFD798" w14:textId="77777777" w:rsidR="00810777" w:rsidRDefault="008107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31798296" w14:textId="1354593B"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Existiendo la solicitud de modificación tarifaria por lesión injusta de los intereses de los usuarios y de las empresas formulada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se impone a la CREG so pena de violar el debido proceso, el principio de prejudicialidad e incurrir en una vía de hecho administrativa, suspender todas las actuaciones relacionadas con la aplicación de los artículos 7, 27 de la Resolución CREG 175 de 2021, artículo 14 de la Resolución CREG 126 de 2011, y las Resoluciones 99 y 231 de 2021 hasta tanto no decida de fondo y de manera suficientemente sustentada las solicitudes concretas y debidamente sustentadas en el escrito radicado con el número CREG E-2022-005045 y su alcance.</w:t>
      </w:r>
      <w:r>
        <w:rPr>
          <w:rStyle w:val="eop"/>
          <w:rFonts w:ascii="Bookman Old Style" w:hAnsi="Bookman Old Style" w:cs="Segoe UI"/>
        </w:rPr>
        <w:t> </w:t>
      </w:r>
    </w:p>
    <w:p w14:paraId="71074A98" w14:textId="77777777" w:rsidR="00C13F13" w:rsidRDefault="00C13F13"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1D937203" w14:textId="0E7B82ED" w:rsidR="00E40629" w:rsidRPr="00AF47F0"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Existiendo conexidad entre esta solicitud aún </w:t>
      </w:r>
      <w:r w:rsidRPr="00AF47F0">
        <w:rPr>
          <w:rStyle w:val="normaltextrun"/>
          <w:rFonts w:ascii="Bookman Old Style" w:hAnsi="Bookman Old Style" w:cs="Segoe UI"/>
          <w:i/>
          <w:iCs/>
          <w:lang w:val="es-ES"/>
        </w:rPr>
        <w:t xml:space="preserve">pendiente de ser resuelta y el acto que se recurre (Resolución CREG 502 024 de 2022) se advierte que tal y como lo ha expresado la jurisprudencia del H. Consejo de </w:t>
      </w:r>
      <w:r w:rsidRPr="00AF47F0">
        <w:rPr>
          <w:rStyle w:val="normaltextrun"/>
          <w:rFonts w:ascii="Bookman Old Style" w:hAnsi="Bookman Old Style" w:cs="Segoe UI"/>
          <w:i/>
          <w:lang w:val="es-ES"/>
        </w:rPr>
        <w:t>Estado</w:t>
      </w:r>
      <w:r w:rsidR="00BB295A" w:rsidRPr="00AF47F0">
        <w:rPr>
          <w:rStyle w:val="Refdenotaalpie"/>
          <w:rFonts w:ascii="Bookman Old Style" w:hAnsi="Bookman Old Style" w:cs="Segoe UI"/>
          <w:i/>
          <w:lang w:val="es-ES"/>
        </w:rPr>
        <w:footnoteReference w:id="3"/>
      </w:r>
      <w:r w:rsidRPr="00AF47F0">
        <w:rPr>
          <w:rStyle w:val="normaltextrun"/>
          <w:rFonts w:ascii="Bookman Old Style" w:hAnsi="Bookman Old Style" w:cs="Segoe UI"/>
          <w:i/>
          <w:lang w:val="es-ES"/>
        </w:rPr>
        <w:t>:</w:t>
      </w:r>
      <w:r w:rsidRPr="00AF47F0">
        <w:rPr>
          <w:rStyle w:val="eop"/>
          <w:rFonts w:ascii="Bookman Old Style" w:hAnsi="Bookman Old Style" w:cs="Segoe UI"/>
        </w:rPr>
        <w:t> </w:t>
      </w:r>
    </w:p>
    <w:p w14:paraId="3C899570" w14:textId="184F2F33" w:rsidR="00E40629" w:rsidRDefault="00E40629" w:rsidP="00E40629">
      <w:pPr>
        <w:pStyle w:val="paragraph"/>
        <w:spacing w:before="0" w:beforeAutospacing="0" w:after="0" w:afterAutospacing="0"/>
        <w:ind w:left="705"/>
        <w:jc w:val="both"/>
        <w:textAlignment w:val="baseline"/>
        <w:rPr>
          <w:rFonts w:ascii="Segoe UI" w:hAnsi="Segoe UI" w:cs="Segoe UI"/>
          <w:sz w:val="18"/>
          <w:szCs w:val="18"/>
        </w:rPr>
      </w:pPr>
      <w:r w:rsidRPr="00AF47F0">
        <w:rPr>
          <w:rStyle w:val="normaltextrun"/>
          <w:rFonts w:ascii="Bookman Old Style" w:hAnsi="Bookman Old Style" w:cs="Segoe UI"/>
          <w:i/>
          <w:iCs/>
          <w:lang w:val="es-ES"/>
        </w:rPr>
        <w:t>“(…) la prejudicialidad es una figura jurídica que implica la suspensión temporal de la competencia del juez en un caso concreto</w:t>
      </w:r>
      <w:r>
        <w:rPr>
          <w:rStyle w:val="normaltextrun"/>
          <w:rFonts w:ascii="Bookman Old Style" w:hAnsi="Bookman Old Style" w:cs="Segoe UI"/>
          <w:i/>
          <w:iCs/>
          <w:lang w:val="es-ES"/>
        </w:rPr>
        <w:t xml:space="preserve"> hasta tanto se </w:t>
      </w:r>
      <w:r>
        <w:rPr>
          <w:rStyle w:val="normaltextrun"/>
          <w:rFonts w:ascii="Bookman Old Style" w:hAnsi="Bookman Old Style" w:cs="Segoe UI"/>
          <w:i/>
          <w:iCs/>
          <w:lang w:val="es-ES"/>
        </w:rPr>
        <w:lastRenderedPageBreak/>
        <w:t>decida otro proceso cuya decisión tenga incidencia en el que se suspende. La suspensión del proceso por prejudicialidad tiene como finalidad evitar que se prefieran decisiones contradictorias en procesos que tienen estrecha relación. Esto es, el fin de esta figura es la uniformidad de la aplicación concreta del derecho. De modo que si el juez encuentra acreditada la prejudicialidad tiene la obligación de suspender el proceso, pues la decisión que deba tomar se supeditará a la que dicte el juez del otro proceso. Ahora, la prejudicialidad no se configura sólo porque en dos procesos se presenten identidad de partes, identidad de objeto e identidad de causa, ni porque exista una simple relación entre dos procesos. Para que haya prejudicialidad en materia contenciosa administrativa es necesario un proceso en curso en el que se decida la legalidad de un acto administrativo de carácter general y un proceso en curso en el que se decida sobre la nulidad y restablecimiento del derecho de actos administrativos de carácter particular y concreto que se hayan expedido con fundamento en el acto administrativo general, que también está demandado. También podría ocurrir que haya dos procesos en los que se decida sobre la nulidad de actos administrativos particulares y concretos que dependan entre sí. Tal es el caso de los procesos en los que se demanda la liquidación oficial de renta en el que se desconoce del saldo a favor y el proceso en el que se demandan los actos en que se impuso la sanción por devolución improcedente, por cuanto la decisión que se tome en el primer proceso repercute directamente en el otro. La sanción depende de que se mantenga o no el saldo a favor en la liquidación oficial cuestionada. De lo anterior se concluye que para que el juez suspenda un proceso, en espera de decisión de otro, debe acreditarse la existencia de una inevitable conexión entre ambos procesos.”</w:t>
      </w:r>
      <w:r>
        <w:rPr>
          <w:rStyle w:val="eop"/>
          <w:rFonts w:ascii="Bookman Old Style" w:hAnsi="Bookman Old Style" w:cs="Segoe UI"/>
        </w:rPr>
        <w:t> </w:t>
      </w:r>
    </w:p>
    <w:p w14:paraId="59CBC12C" w14:textId="77777777" w:rsidR="00C13F13" w:rsidRDefault="00C13F13"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0536B3F2" w14:textId="2E2EF077" w:rsidR="00E40629" w:rsidRDefault="00E40629" w:rsidP="00E40629">
      <w:pPr>
        <w:pStyle w:val="paragraph"/>
        <w:spacing w:before="0" w:beforeAutospacing="0" w:after="0" w:afterAutospacing="0"/>
        <w:jc w:val="both"/>
        <w:textAlignment w:val="baseline"/>
        <w:rPr>
          <w:rStyle w:val="eop"/>
          <w:rFonts w:ascii="Bookman Old Style" w:hAnsi="Bookman Old Style" w:cs="Segoe UI"/>
        </w:rPr>
      </w:pPr>
      <w:r>
        <w:rPr>
          <w:rStyle w:val="normaltextrun"/>
          <w:rFonts w:ascii="Bookman Old Style" w:hAnsi="Bookman Old Style" w:cs="Segoe UI"/>
          <w:i/>
          <w:iCs/>
          <w:lang w:val="es-ES"/>
        </w:rPr>
        <w:t>Este principio es aplicable en sede administrativa ya que es evidente que:</w:t>
      </w:r>
      <w:r>
        <w:rPr>
          <w:rStyle w:val="eop"/>
          <w:rFonts w:ascii="Bookman Old Style" w:hAnsi="Bookman Old Style" w:cs="Segoe UI"/>
        </w:rPr>
        <w:t> </w:t>
      </w:r>
    </w:p>
    <w:p w14:paraId="2BB45B2F" w14:textId="77777777" w:rsidR="005A6D58" w:rsidRDefault="005A6D58" w:rsidP="00E40629">
      <w:pPr>
        <w:pStyle w:val="paragraph"/>
        <w:spacing w:before="0" w:beforeAutospacing="0" w:after="0" w:afterAutospacing="0"/>
        <w:jc w:val="both"/>
        <w:textAlignment w:val="baseline"/>
        <w:rPr>
          <w:rFonts w:ascii="Segoe UI" w:hAnsi="Segoe UI" w:cs="Segoe UI"/>
          <w:sz w:val="18"/>
          <w:szCs w:val="18"/>
        </w:rPr>
      </w:pPr>
    </w:p>
    <w:p w14:paraId="1EA1FE9E" w14:textId="6BC71DBF" w:rsidR="00E40629" w:rsidRDefault="00E40629" w:rsidP="001A3546">
      <w:pPr>
        <w:pStyle w:val="paragraph"/>
        <w:spacing w:before="0" w:beforeAutospacing="0" w:after="0" w:afterAutospacing="0"/>
        <w:ind w:left="708"/>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 Existe absoluta conexidad entre la solicitud efectuada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y la Resolución CREG 502 024 de 2022 que se recurre.</w:t>
      </w:r>
      <w:r>
        <w:rPr>
          <w:rStyle w:val="eop"/>
          <w:rFonts w:ascii="Bookman Old Style" w:hAnsi="Bookman Old Style" w:cs="Segoe UI"/>
        </w:rPr>
        <w:t> </w:t>
      </w:r>
    </w:p>
    <w:p w14:paraId="47B1B39D" w14:textId="77777777" w:rsidR="00E40629" w:rsidRDefault="00E40629" w:rsidP="001A3546">
      <w:pPr>
        <w:pStyle w:val="paragraph"/>
        <w:spacing w:before="0" w:beforeAutospacing="0" w:after="0" w:afterAutospacing="0"/>
        <w:ind w:left="708"/>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 Siendo la misma entidad competente para conocer de estas actuaciones, la CREG está en el deber legal de suspender las actuaciones derivadas de la aplicación de la metodología tarifaria contenida en la Resolución CREG 175 de 2021 y del artículo 14 de la Resolución CREG 126 de 2010 aun con efectos jurídicos, hasta tanto no decida de manera expresa, de fondo y con la debida suficiente motivación, la solicitud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radicada con número CREG E-2022-005045.</w:t>
      </w:r>
      <w:r>
        <w:rPr>
          <w:rStyle w:val="eop"/>
          <w:rFonts w:ascii="Bookman Old Style" w:hAnsi="Bookman Old Style" w:cs="Segoe UI"/>
        </w:rPr>
        <w:t> </w:t>
      </w:r>
    </w:p>
    <w:p w14:paraId="07445B11" w14:textId="77777777" w:rsidR="00E40629" w:rsidRDefault="00E40629" w:rsidP="001A3546">
      <w:pPr>
        <w:pStyle w:val="paragraph"/>
        <w:spacing w:before="0" w:beforeAutospacing="0" w:after="0" w:afterAutospacing="0"/>
        <w:ind w:left="708"/>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 No hacerlo implica desconocer el derecho al debido proceso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incurrir en una vía de hecho administrativa y que los integrantes del cuerpo colegiado que tomaron las decisiones contenidas en la Resolución 502 024 -así como sea de paso mencionarlo, aquellas contenidas en la Resolución CREG 102 010 de 2022- pierdan competencia para decidir la solicitud de modificación tarifaria, puesto que tácitamente habrían negado las peticiones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o resuelto la solicitud de modificación tarifaria de manera irregular y desfavorable a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w:t>
      </w:r>
      <w:r>
        <w:rPr>
          <w:rStyle w:val="eop"/>
          <w:rFonts w:ascii="Bookman Old Style" w:hAnsi="Bookman Old Style" w:cs="Segoe UI"/>
        </w:rPr>
        <w:t> </w:t>
      </w:r>
    </w:p>
    <w:p w14:paraId="3DCCB720" w14:textId="77777777" w:rsidR="001C78E8" w:rsidRDefault="001C78E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64664429" w14:textId="38A57029"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En la Resolución CREG 502 024 de 2022 no se evidencia alguna referencia a la solicitud de modificación tarifaria formulada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radicada con número CREG E-2022-005045.</w:t>
      </w:r>
      <w:r>
        <w:rPr>
          <w:rStyle w:val="eop"/>
          <w:rFonts w:ascii="Bookman Old Style" w:hAnsi="Bookman Old Style" w:cs="Segoe UI"/>
        </w:rPr>
        <w:t> </w:t>
      </w:r>
    </w:p>
    <w:p w14:paraId="6E825E5D" w14:textId="77777777" w:rsidR="001C78E8" w:rsidRDefault="001C78E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4251C072" w14:textId="36F4F5B1"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Pr>
          <w:rStyle w:val="eop"/>
          <w:rFonts w:ascii="Bookman Old Style" w:hAnsi="Bookman Old Style" w:cs="Segoe UI"/>
        </w:rPr>
        <w:t> </w:t>
      </w:r>
    </w:p>
    <w:p w14:paraId="05217F0D" w14:textId="77777777" w:rsidR="00915C05" w:rsidRDefault="00915C05"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5550B04D" w14:textId="2D0A746F"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En ese sentido, el hecho de adoptar las decisiones contenidas en la Resolución CREG 502 024 de 2022 sin haber resuelto de manera previa, de fondo y expresa la solicitud de modificación tarifaria solicitada, implica el desconocimiento de los derechos fundamentales de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y de las demás empresas solicitantes, así como de todos los usuarios de los distintos sistemas de transporte, entre otros al debido proceso, además de materializar una actuación arbitraria y de hecho del regulador.</w:t>
      </w:r>
      <w:r>
        <w:rPr>
          <w:rStyle w:val="eop"/>
          <w:rFonts w:ascii="Bookman Old Style" w:hAnsi="Bookman Old Style" w:cs="Segoe UI"/>
        </w:rPr>
        <w:t> </w:t>
      </w:r>
    </w:p>
    <w:p w14:paraId="1168C91F" w14:textId="77777777" w:rsidR="001C78E8" w:rsidRDefault="001C78E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1388607A" w14:textId="0012D31D" w:rsidR="00E40629" w:rsidRPr="00AF47F0"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Tal necesidad de decidir de fondo la solicitud efectuada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así como de dar respuesta a los </w:t>
      </w:r>
      <w:r w:rsidRPr="00AF47F0">
        <w:rPr>
          <w:rStyle w:val="normaltextrun"/>
          <w:rFonts w:ascii="Bookman Old Style" w:hAnsi="Bookman Old Style" w:cs="Segoe UI"/>
          <w:i/>
          <w:iCs/>
          <w:lang w:val="es-ES"/>
        </w:rPr>
        <w:t xml:space="preserve">temas de fondo evidenciados en dicho documento, derivados de los efectos lesivos que la aplicación de la metodología tarifaria acarrea para los usuarios y las empresas, han sido reiterados varias comunicaciones emitidas por </w:t>
      </w:r>
      <w:proofErr w:type="spellStart"/>
      <w:r w:rsidRPr="00AF47F0">
        <w:rPr>
          <w:rStyle w:val="normaltextrun"/>
          <w:rFonts w:ascii="Bookman Old Style" w:hAnsi="Bookman Old Style" w:cs="Segoe UI"/>
          <w:i/>
          <w:iCs/>
          <w:lang w:val="es-ES"/>
        </w:rPr>
        <w:t>Vanti</w:t>
      </w:r>
      <w:proofErr w:type="spellEnd"/>
      <w:r w:rsidRPr="00AF47F0">
        <w:rPr>
          <w:rStyle w:val="normaltextrun"/>
          <w:rFonts w:ascii="Bookman Old Style" w:hAnsi="Bookman Old Style" w:cs="Segoe UI"/>
          <w:i/>
          <w:iCs/>
          <w:lang w:val="es-ES"/>
        </w:rPr>
        <w:t xml:space="preserve"> a la CREG frente a las propuestas de actos administrativos publicados para consulta </w:t>
      </w:r>
      <w:r w:rsidRPr="00AF47F0">
        <w:rPr>
          <w:rStyle w:val="normaltextrun"/>
          <w:rFonts w:ascii="Bookman Old Style" w:hAnsi="Bookman Old Style" w:cs="Segoe UI"/>
          <w:i/>
          <w:lang w:val="es-ES"/>
        </w:rPr>
        <w:t>(propuestas de modificación parcial a la resolución CREG 175 de 2021</w:t>
      </w:r>
      <w:r w:rsidR="00752075" w:rsidRPr="00AF47F0">
        <w:rPr>
          <w:rStyle w:val="normaltextrun"/>
          <w:rFonts w:ascii="Bookman Old Style" w:hAnsi="Bookman Old Style" w:cs="Segoe UI"/>
          <w:i/>
          <w:iCs/>
          <w:lang w:val="es-ES"/>
        </w:rPr>
        <w:t>)</w:t>
      </w:r>
      <w:r w:rsidRPr="00AF47F0">
        <w:rPr>
          <w:rStyle w:val="normaltextrun"/>
          <w:rFonts w:ascii="Bookman Old Style" w:hAnsi="Bookman Old Style" w:cs="Segoe UI"/>
          <w:i/>
          <w:iCs/>
          <w:lang w:val="es-ES"/>
        </w:rPr>
        <w:t>.</w:t>
      </w:r>
      <w:r w:rsidRPr="00AF47F0">
        <w:rPr>
          <w:rStyle w:val="eop"/>
          <w:rFonts w:ascii="Bookman Old Style" w:hAnsi="Bookman Old Style" w:cs="Segoe UI"/>
        </w:rPr>
        <w:t> </w:t>
      </w:r>
    </w:p>
    <w:p w14:paraId="71E9EE60" w14:textId="3B644E83" w:rsidR="00E40629" w:rsidRPr="00AF47F0" w:rsidRDefault="00E40629" w:rsidP="00D42104">
      <w:pPr>
        <w:pStyle w:val="paragraph"/>
        <w:spacing w:before="120" w:beforeAutospacing="0" w:after="120" w:afterAutospacing="0"/>
        <w:jc w:val="both"/>
        <w:textAlignment w:val="baseline"/>
        <w:rPr>
          <w:rFonts w:ascii="Segoe UI" w:hAnsi="Segoe UI" w:cs="Segoe UI"/>
          <w:sz w:val="18"/>
          <w:szCs w:val="18"/>
        </w:rPr>
      </w:pPr>
      <w:r w:rsidRPr="00AF47F0">
        <w:rPr>
          <w:rStyle w:val="normaltextrun"/>
          <w:rFonts w:ascii="Bookman Old Style" w:hAnsi="Bookman Old Style" w:cs="Segoe UI"/>
          <w:i/>
          <w:iCs/>
          <w:lang w:val="es-ES"/>
        </w:rPr>
        <w:t>(…)</w:t>
      </w:r>
      <w:r w:rsidRPr="00AF47F0">
        <w:rPr>
          <w:rStyle w:val="eop"/>
          <w:rFonts w:ascii="Bookman Old Style" w:hAnsi="Bookman Old Style" w:cs="Segoe UI"/>
        </w:rPr>
        <w:t> </w:t>
      </w:r>
    </w:p>
    <w:p w14:paraId="366AD2B6" w14:textId="28FA2819" w:rsidR="00E40629" w:rsidRDefault="00E40629" w:rsidP="00E40629">
      <w:pPr>
        <w:pStyle w:val="paragraph"/>
        <w:spacing w:before="0" w:beforeAutospacing="0" w:after="0" w:afterAutospacing="0"/>
        <w:jc w:val="both"/>
        <w:textAlignment w:val="baseline"/>
        <w:rPr>
          <w:rStyle w:val="eop"/>
          <w:rFonts w:ascii="Bookman Old Style" w:hAnsi="Bookman Old Style" w:cs="Segoe UI"/>
        </w:rPr>
      </w:pPr>
      <w:r w:rsidRPr="00AF47F0">
        <w:rPr>
          <w:rStyle w:val="normaltextrun"/>
          <w:rFonts w:ascii="Bookman Old Style" w:hAnsi="Bookman Old Style" w:cs="Segoe UI"/>
          <w:i/>
          <w:iCs/>
          <w:lang w:val="es-ES"/>
        </w:rPr>
        <w:t>Se impone entonces que la CREG explique de manera detallada y suficiente al resolver este recurso:</w:t>
      </w:r>
      <w:r>
        <w:rPr>
          <w:rStyle w:val="eop"/>
          <w:rFonts w:ascii="Bookman Old Style" w:hAnsi="Bookman Old Style" w:cs="Segoe UI"/>
        </w:rPr>
        <w:t> </w:t>
      </w:r>
    </w:p>
    <w:p w14:paraId="2F9F23D7" w14:textId="77777777" w:rsidR="005273A4" w:rsidRDefault="005273A4" w:rsidP="00E40629">
      <w:pPr>
        <w:pStyle w:val="paragraph"/>
        <w:spacing w:before="0" w:beforeAutospacing="0" w:after="0" w:afterAutospacing="0"/>
        <w:jc w:val="both"/>
        <w:textAlignment w:val="baseline"/>
        <w:rPr>
          <w:rFonts w:ascii="Segoe UI" w:hAnsi="Segoe UI" w:cs="Segoe UI"/>
          <w:sz w:val="18"/>
          <w:szCs w:val="18"/>
        </w:rPr>
      </w:pPr>
    </w:p>
    <w:p w14:paraId="3B225115" w14:textId="77777777" w:rsidR="00E40629" w:rsidRDefault="00E40629" w:rsidP="001A3546">
      <w:pPr>
        <w:pStyle w:val="paragraph"/>
        <w:spacing w:before="0" w:beforeAutospacing="0" w:after="0" w:afterAutospacing="0"/>
        <w:ind w:left="708"/>
        <w:jc w:val="both"/>
        <w:textAlignment w:val="baseline"/>
        <w:rPr>
          <w:rStyle w:val="eop"/>
          <w:rFonts w:ascii="Bookman Old Style" w:hAnsi="Bookman Old Style" w:cs="Segoe UI"/>
        </w:rPr>
      </w:pPr>
      <w:r>
        <w:rPr>
          <w:rStyle w:val="normaltextrun"/>
          <w:rFonts w:ascii="Bookman Old Style" w:hAnsi="Bookman Old Style" w:cs="Segoe UI"/>
          <w:i/>
          <w:iCs/>
          <w:lang w:val="es-ES"/>
        </w:rPr>
        <w:t>• ¿Por qué insiste en mantener el error y lesión injusta a los usuarios derivada de la sobre remuneración injustificada de activos que le han sido advertidos y contrario a dar muestras de resolverlo, lo profundiza?</w:t>
      </w:r>
      <w:r>
        <w:rPr>
          <w:rStyle w:val="eop"/>
          <w:rFonts w:ascii="Bookman Old Style" w:hAnsi="Bookman Old Style" w:cs="Segoe UI"/>
        </w:rPr>
        <w:t> </w:t>
      </w:r>
    </w:p>
    <w:p w14:paraId="7BF24C63" w14:textId="77777777" w:rsidR="005273A4" w:rsidRDefault="005273A4" w:rsidP="001A3546">
      <w:pPr>
        <w:pStyle w:val="paragraph"/>
        <w:spacing w:before="0" w:beforeAutospacing="0" w:after="0" w:afterAutospacing="0"/>
        <w:ind w:left="708"/>
        <w:jc w:val="both"/>
        <w:textAlignment w:val="baseline"/>
        <w:rPr>
          <w:rFonts w:ascii="Segoe UI" w:hAnsi="Segoe UI" w:cs="Segoe UI"/>
          <w:sz w:val="18"/>
          <w:szCs w:val="18"/>
        </w:rPr>
      </w:pPr>
    </w:p>
    <w:p w14:paraId="2E8D589D" w14:textId="77777777" w:rsidR="00E40629" w:rsidRDefault="00E40629" w:rsidP="001A3546">
      <w:pPr>
        <w:pStyle w:val="paragraph"/>
        <w:spacing w:before="0" w:beforeAutospacing="0" w:after="0" w:afterAutospacing="0"/>
        <w:ind w:left="708"/>
        <w:jc w:val="both"/>
        <w:textAlignment w:val="baseline"/>
        <w:rPr>
          <w:rFonts w:ascii="Segoe UI" w:hAnsi="Segoe UI" w:cs="Segoe UI"/>
          <w:sz w:val="18"/>
          <w:szCs w:val="18"/>
        </w:rPr>
      </w:pPr>
      <w:r>
        <w:rPr>
          <w:rStyle w:val="normaltextrun"/>
          <w:rFonts w:ascii="Bookman Old Style" w:hAnsi="Bookman Old Style" w:cs="Segoe UI"/>
          <w:i/>
          <w:iCs/>
          <w:lang w:val="es-ES"/>
        </w:rPr>
        <w:t>• ¿Cómo mediante las decisiones que, se reitera, implican una sobre remuneración de activos y aumentos tarifarios, se da correcta aplicación a los principios del régimen tarifario, en especial los de eficiencia económica y suficiencia financiera?</w:t>
      </w:r>
      <w:r>
        <w:rPr>
          <w:rStyle w:val="eop"/>
          <w:rFonts w:ascii="Bookman Old Style" w:hAnsi="Bookman Old Style" w:cs="Segoe UI"/>
        </w:rPr>
        <w:t> </w:t>
      </w:r>
    </w:p>
    <w:p w14:paraId="1702FA3C" w14:textId="77777777" w:rsidR="005273A4" w:rsidRDefault="005273A4"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105A6AD" w14:textId="2AFD84AC" w:rsidR="005273A4" w:rsidRDefault="00E40629" w:rsidP="00F71210">
      <w:pPr>
        <w:pStyle w:val="paragraph"/>
        <w:spacing w:before="0" w:beforeAutospacing="0" w:after="0" w:afterAutospacing="0"/>
        <w:jc w:val="both"/>
        <w:textAlignment w:val="baseline"/>
        <w:rPr>
          <w:rStyle w:val="normaltextrun"/>
          <w:rFonts w:ascii="Bookman Old Style" w:hAnsi="Bookman Old Style" w:cs="Segoe UI"/>
          <w:b/>
          <w:bCs/>
        </w:rPr>
      </w:pPr>
      <w:r>
        <w:rPr>
          <w:rStyle w:val="normaltextrun"/>
          <w:rFonts w:ascii="Bookman Old Style" w:hAnsi="Bookman Old Style" w:cs="Segoe UI"/>
          <w:i/>
          <w:iCs/>
          <w:lang w:val="es-ES"/>
        </w:rPr>
        <w:t xml:space="preserve">Resulta imperativo, tal como la CREG indicó en el documento soporte de la Resolución CREG 702 004 de 2022 y que desconoció al proponer y expedir la Resolución CREG 102 010, “analizar con prudencia las solicitudes de ajuste a la metodología” y “contar con el espacio suficiente para analizar las peticiones recibidas”, y por tanto, resulta necesario que la CREG reconsidere la decisión que se recurre, suspenda la decisión de esta actuación administrativa -así como de las demás actuaciones derivadas de la aplicación de la Resolución CREG 175 de 2021, incluso procediendo a revocar dichas decisiones- hasta tanto resuelva de fondo y de manera expresa la solicitud de modificación tarifaria presentada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w:t>
      </w:r>
    </w:p>
    <w:p w14:paraId="45120A32" w14:textId="77777777" w:rsidR="00F71210" w:rsidRPr="001A3546" w:rsidRDefault="00F71210" w:rsidP="001A3546">
      <w:pPr>
        <w:pStyle w:val="paragraph"/>
        <w:spacing w:before="0" w:beforeAutospacing="0" w:after="0" w:afterAutospacing="0"/>
        <w:jc w:val="both"/>
        <w:textAlignment w:val="baseline"/>
        <w:rPr>
          <w:rStyle w:val="normaltextrun"/>
          <w:rFonts w:ascii="Bookman Old Style" w:hAnsi="Bookman Old Style" w:cs="Segoe UI"/>
          <w:b/>
          <w:i/>
          <w:lang w:val="es-ES"/>
        </w:rPr>
      </w:pPr>
    </w:p>
    <w:p w14:paraId="36EF33E2" w14:textId="6B58C8D8" w:rsidR="00E40629" w:rsidRPr="001A3546" w:rsidRDefault="00E40629" w:rsidP="00E636E2">
      <w:pPr>
        <w:pStyle w:val="paragraph"/>
        <w:numPr>
          <w:ilvl w:val="0"/>
          <w:numId w:val="11"/>
        </w:numPr>
        <w:spacing w:before="0" w:beforeAutospacing="0" w:after="0" w:afterAutospacing="0"/>
        <w:ind w:firstLine="0"/>
        <w:jc w:val="both"/>
        <w:textAlignment w:val="baseline"/>
        <w:rPr>
          <w:rFonts w:ascii="Segoe UI" w:hAnsi="Segoe UI" w:cs="Segoe UI"/>
          <w:b/>
          <w:i/>
          <w:sz w:val="18"/>
          <w:szCs w:val="18"/>
        </w:rPr>
      </w:pPr>
      <w:r w:rsidRPr="001A3546">
        <w:rPr>
          <w:rStyle w:val="normaltextrun"/>
          <w:rFonts w:ascii="Bookman Old Style" w:hAnsi="Bookman Old Style" w:cs="Segoe UI"/>
          <w:b/>
          <w:i/>
          <w:lang w:val="es-ES"/>
        </w:rPr>
        <w:t>Ausencia de motivación de la Resolución CREG 502 024 de 2022</w:t>
      </w:r>
      <w:r w:rsidRPr="001A3546">
        <w:rPr>
          <w:rStyle w:val="eop"/>
          <w:rFonts w:ascii="Bookman Old Style" w:hAnsi="Bookman Old Style" w:cs="Segoe UI"/>
          <w:b/>
          <w:i/>
        </w:rPr>
        <w:t> </w:t>
      </w:r>
    </w:p>
    <w:p w14:paraId="58323A8A" w14:textId="77777777" w:rsidR="00345506" w:rsidRDefault="00345506"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11A63DE5" w14:textId="4B3C0254" w:rsidR="00E40629" w:rsidRDefault="00E40629" w:rsidP="00E40629">
      <w:pPr>
        <w:pStyle w:val="paragraph"/>
        <w:spacing w:before="0" w:beforeAutospacing="0" w:after="0" w:afterAutospacing="0"/>
        <w:ind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Revisado el contenido de la Resolución recurrida, llama la atención la forma desarticulada con la que se presentan las etapas de la actuación administrativa con la cual se pretende ajustar los cargos regulados del sistema de transporte de TGI.</w:t>
      </w:r>
      <w:r>
        <w:rPr>
          <w:rStyle w:val="eop"/>
          <w:rFonts w:ascii="Bookman Old Style" w:hAnsi="Bookman Old Style" w:cs="Segoe UI"/>
          <w:b/>
          <w:bCs/>
        </w:rPr>
        <w:t> </w:t>
      </w:r>
    </w:p>
    <w:p w14:paraId="69B51D93" w14:textId="77777777" w:rsidR="005273A4" w:rsidRDefault="005273A4"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31A13709" w14:textId="2B40A2DF" w:rsidR="00E40629" w:rsidRDefault="00E40629" w:rsidP="00E40629">
      <w:pPr>
        <w:pStyle w:val="paragraph"/>
        <w:spacing w:before="0" w:beforeAutospacing="0" w:after="0" w:afterAutospacing="0"/>
        <w:ind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Se observa que dicho acto administrativo tiene una estructura a partir de la cual se hace una referencia a resoluciones de años anteriores en las cuales esa Comisión ha establecido cargos regulados para el sistema de transporte y se hace una transcripción de partes de comunicaciones radicadas en diferentes años.</w:t>
      </w:r>
      <w:r>
        <w:rPr>
          <w:rStyle w:val="eop"/>
          <w:rFonts w:ascii="Bookman Old Style" w:hAnsi="Bookman Old Style" w:cs="Segoe UI"/>
          <w:b/>
          <w:bCs/>
        </w:rPr>
        <w:t> </w:t>
      </w:r>
    </w:p>
    <w:p w14:paraId="2CE938CD" w14:textId="77777777" w:rsidR="005273A4" w:rsidRDefault="005273A4"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14FF68BB" w14:textId="77777777" w:rsidR="000F65C5" w:rsidRDefault="00E40629"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r>
        <w:rPr>
          <w:rStyle w:val="normaltextrun"/>
          <w:rFonts w:ascii="Bookman Old Style" w:hAnsi="Bookman Old Style" w:cs="Segoe UI"/>
          <w:i/>
          <w:iCs/>
          <w:lang w:val="es-ES"/>
        </w:rPr>
        <w:t xml:space="preserve">Así mismo, en el capítulo 2 denominado “análisis dentro de la actuación” dividido en los </w:t>
      </w:r>
      <w:proofErr w:type="spellStart"/>
      <w:r>
        <w:rPr>
          <w:rStyle w:val="normaltextrun"/>
          <w:rFonts w:ascii="Bookman Old Style" w:hAnsi="Bookman Old Style" w:cs="Segoe UI"/>
          <w:i/>
          <w:iCs/>
          <w:lang w:val="es-ES"/>
        </w:rPr>
        <w:t>subnumerales</w:t>
      </w:r>
      <w:proofErr w:type="spellEnd"/>
      <w:r>
        <w:rPr>
          <w:rStyle w:val="normaltextrun"/>
          <w:rFonts w:ascii="Bookman Old Style" w:hAnsi="Bookman Old Style" w:cs="Segoe UI"/>
          <w:i/>
          <w:iCs/>
          <w:lang w:val="es-ES"/>
        </w:rPr>
        <w:t xml:space="preserve"> (2.1., 2.2. y 2.3.) la Comisión presenta unas conclusiones respecto de puntos particulares, sobre las que presentamos las siguientes evidencias:</w:t>
      </w:r>
    </w:p>
    <w:p w14:paraId="10C91AA1" w14:textId="668EF2A4" w:rsidR="00E40629" w:rsidRPr="001A2F25" w:rsidRDefault="00E40629" w:rsidP="00E40629">
      <w:pPr>
        <w:pStyle w:val="paragraph"/>
        <w:spacing w:before="0" w:beforeAutospacing="0" w:after="0" w:afterAutospacing="0"/>
        <w:ind w:right="270"/>
        <w:jc w:val="both"/>
        <w:textAlignment w:val="baseline"/>
        <w:rPr>
          <w:rStyle w:val="normaltextrun"/>
          <w:rFonts w:ascii="Bookman Old Style" w:hAnsi="Bookman Old Style"/>
          <w:i/>
          <w:iCs/>
          <w:lang w:val="es-ES"/>
        </w:rPr>
      </w:pPr>
      <w:r>
        <w:rPr>
          <w:rStyle w:val="eop"/>
          <w:rFonts w:ascii="Bookman Old Style" w:hAnsi="Bookman Old Style" w:cs="Segoe UI"/>
          <w:b/>
          <w:bCs/>
        </w:rPr>
        <w:t> </w:t>
      </w:r>
    </w:p>
    <w:p w14:paraId="0E0F5B79" w14:textId="691A05C0" w:rsidR="00E40629" w:rsidRPr="001A2F25" w:rsidRDefault="00E40629" w:rsidP="001A3546">
      <w:pPr>
        <w:pStyle w:val="paragraph"/>
        <w:numPr>
          <w:ilvl w:val="0"/>
          <w:numId w:val="13"/>
        </w:numPr>
        <w:spacing w:before="0" w:beforeAutospacing="0" w:after="0" w:afterAutospacing="0"/>
        <w:jc w:val="both"/>
        <w:textAlignment w:val="baseline"/>
        <w:rPr>
          <w:rStyle w:val="normaltextrun"/>
          <w:i/>
          <w:iCs/>
          <w:lang w:val="es-ES"/>
        </w:rPr>
      </w:pPr>
      <w:r w:rsidRPr="001A2F25">
        <w:rPr>
          <w:rStyle w:val="normaltextrun"/>
          <w:rFonts w:ascii="Bookman Old Style" w:hAnsi="Bookman Old Style" w:cs="Segoe UI"/>
          <w:i/>
          <w:iCs/>
          <w:lang w:val="es-ES"/>
        </w:rPr>
        <w:t xml:space="preserve">2.1. Inclusión en cargos de activos repuestos por TGI ramales </w:t>
      </w:r>
      <w:proofErr w:type="spellStart"/>
      <w:r w:rsidRPr="001A2F25">
        <w:rPr>
          <w:rStyle w:val="normaltextrun"/>
          <w:rFonts w:ascii="Bookman Old Style" w:hAnsi="Bookman Old Style" w:cs="Segoe UI"/>
          <w:i/>
          <w:iCs/>
          <w:lang w:val="es-ES"/>
        </w:rPr>
        <w:t>Yarigüíes</w:t>
      </w:r>
      <w:proofErr w:type="spellEnd"/>
      <w:r w:rsidRPr="001A2F25">
        <w:rPr>
          <w:rStyle w:val="normaltextrun"/>
          <w:rFonts w:ascii="Bookman Old Style" w:hAnsi="Bookman Old Style" w:cs="Segoe UI"/>
          <w:i/>
          <w:iCs/>
          <w:lang w:val="es-ES"/>
        </w:rPr>
        <w:t xml:space="preserve"> – Puerto Wilches, Zona Industrial Cantagallo – Cantagallo, Cantagallo – San Pablo y Pompeya:</w:t>
      </w:r>
      <w:r w:rsidRPr="001A2F25">
        <w:rPr>
          <w:rStyle w:val="normaltextrun"/>
          <w:i/>
          <w:iCs/>
          <w:lang w:val="es-ES"/>
        </w:rPr>
        <w:t> </w:t>
      </w:r>
    </w:p>
    <w:p w14:paraId="44C92E94" w14:textId="77777777" w:rsidR="005273A4" w:rsidRPr="001A2F25" w:rsidRDefault="005273A4"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7E34E148" w14:textId="4FBA9A95" w:rsidR="00E40629" w:rsidRPr="001A2F25" w:rsidRDefault="00E40629" w:rsidP="001A3546">
      <w:pPr>
        <w:pStyle w:val="paragraph"/>
        <w:spacing w:before="0" w:beforeAutospacing="0" w:after="0" w:afterAutospacing="0"/>
        <w:ind w:left="705" w:right="270"/>
        <w:jc w:val="both"/>
        <w:textAlignment w:val="baseline"/>
        <w:rPr>
          <w:rStyle w:val="normaltextrun"/>
          <w:i/>
          <w:iCs/>
          <w:lang w:val="es-ES"/>
        </w:rPr>
      </w:pPr>
      <w:r w:rsidRPr="001A2F25">
        <w:rPr>
          <w:rStyle w:val="normaltextrun"/>
          <w:rFonts w:ascii="Bookman Old Style" w:hAnsi="Bookman Old Style" w:cs="Segoe UI"/>
          <w:i/>
          <w:iCs/>
          <w:lang w:val="es-ES"/>
        </w:rPr>
        <w:t>Analizado el contenido del numeral 2.1 se observa que la CREG omitió presentar un análisis del tema, pues de la redacción sólo se advierte una decisión de la entidad sobre el particular sin que medien los motivos de hecho y de derecho por las cuales se decidió reemplazar los valores VAO por los valores VRAN de tales gasoductos ramales; igualmente esta conclusión tampoco se ve reflejada en el articulado de la resolución recurrida.</w:t>
      </w:r>
      <w:r w:rsidRPr="001A2F25">
        <w:rPr>
          <w:rStyle w:val="normaltextrun"/>
          <w:i/>
          <w:iCs/>
          <w:lang w:val="es-ES"/>
        </w:rPr>
        <w:t> </w:t>
      </w:r>
    </w:p>
    <w:p w14:paraId="752168C8" w14:textId="77777777" w:rsidR="005273A4" w:rsidRPr="001A2F25" w:rsidRDefault="005273A4" w:rsidP="00E40629">
      <w:pPr>
        <w:pStyle w:val="paragraph"/>
        <w:spacing w:before="0" w:beforeAutospacing="0" w:after="0" w:afterAutospacing="0"/>
        <w:ind w:right="270"/>
        <w:jc w:val="both"/>
        <w:textAlignment w:val="baseline"/>
        <w:rPr>
          <w:rStyle w:val="normaltextrun"/>
          <w:rFonts w:ascii="Bookman Old Style" w:hAnsi="Bookman Old Style"/>
          <w:i/>
          <w:iCs/>
          <w:lang w:val="es-ES"/>
        </w:rPr>
      </w:pPr>
    </w:p>
    <w:p w14:paraId="4DB38D6D" w14:textId="1C35C720" w:rsidR="00E40629" w:rsidRPr="001A2F25" w:rsidRDefault="00E40629" w:rsidP="001A3546">
      <w:pPr>
        <w:pStyle w:val="paragraph"/>
        <w:numPr>
          <w:ilvl w:val="0"/>
          <w:numId w:val="13"/>
        </w:numPr>
        <w:spacing w:before="0" w:beforeAutospacing="0" w:after="0" w:afterAutospacing="0"/>
        <w:ind w:right="270"/>
        <w:jc w:val="both"/>
        <w:textAlignment w:val="baseline"/>
        <w:rPr>
          <w:rStyle w:val="normaltextrun"/>
          <w:rFonts w:ascii="Bookman Old Style" w:hAnsi="Bookman Old Style"/>
          <w:i/>
          <w:iCs/>
          <w:lang w:val="es-ES"/>
        </w:rPr>
      </w:pPr>
      <w:r w:rsidRPr="001A2F25">
        <w:rPr>
          <w:rStyle w:val="normaltextrun"/>
          <w:rFonts w:ascii="Bookman Old Style" w:hAnsi="Bookman Old Style" w:cs="Segoe UI"/>
          <w:i/>
          <w:iCs/>
          <w:lang w:val="es-ES"/>
        </w:rPr>
        <w:t xml:space="preserve">Revisión sobre la solicitud de TGI de modificación por mutuo acuerdo de los cargos existentes para los ramales Florián, Albania, </w:t>
      </w:r>
      <w:proofErr w:type="spellStart"/>
      <w:r w:rsidRPr="001A2F25">
        <w:rPr>
          <w:rStyle w:val="normaltextrun"/>
          <w:rFonts w:ascii="Bookman Old Style" w:hAnsi="Bookman Old Style" w:cs="Segoe UI"/>
          <w:i/>
          <w:iCs/>
          <w:lang w:val="es-ES"/>
        </w:rPr>
        <w:t>Tununguá</w:t>
      </w:r>
      <w:proofErr w:type="spellEnd"/>
      <w:r w:rsidRPr="001A2F25">
        <w:rPr>
          <w:rStyle w:val="normaltextrun"/>
          <w:rFonts w:ascii="Bookman Old Style" w:hAnsi="Bookman Old Style" w:cs="Segoe UI"/>
          <w:i/>
          <w:iCs/>
          <w:lang w:val="es-ES"/>
        </w:rPr>
        <w:t>, Briceño y tramo remanente de 22” entre la válvula VC 11 B y Sucre.</w:t>
      </w:r>
      <w:r w:rsidRPr="001A2F25">
        <w:rPr>
          <w:rStyle w:val="normaltextrun"/>
          <w:i/>
          <w:iCs/>
          <w:lang w:val="es-ES"/>
        </w:rPr>
        <w:t> </w:t>
      </w:r>
    </w:p>
    <w:p w14:paraId="7C457B9D" w14:textId="334BA9E2" w:rsidR="00E40629" w:rsidRPr="001A2F25" w:rsidRDefault="00E40629" w:rsidP="001A3546">
      <w:pPr>
        <w:pStyle w:val="paragraph"/>
        <w:spacing w:before="0" w:beforeAutospacing="0" w:after="0" w:afterAutospacing="0"/>
        <w:ind w:left="705" w:right="270"/>
        <w:jc w:val="both"/>
        <w:textAlignment w:val="baseline"/>
        <w:rPr>
          <w:rStyle w:val="normaltextrun"/>
          <w:i/>
          <w:iCs/>
          <w:lang w:val="es-ES"/>
        </w:rPr>
      </w:pPr>
      <w:r w:rsidRPr="001A2F25">
        <w:rPr>
          <w:rStyle w:val="normaltextrun"/>
          <w:rFonts w:ascii="Bookman Old Style" w:hAnsi="Bookman Old Style" w:cs="Segoe UI"/>
          <w:i/>
          <w:iCs/>
          <w:lang w:val="es-ES"/>
        </w:rPr>
        <w:t>En igual sentido debe advertirse que si bien sobre este punto se presenta un análisis remitido a las conclusiones de la nota 1 del Anexo 1 de la Resolución CREG 099 de 2021, esta decisión no se ve reflejada en el articulado de la parte resolutiva, por lo que no tendría efectos jurídicos vinculantes.</w:t>
      </w:r>
      <w:r w:rsidRPr="001A2F25">
        <w:rPr>
          <w:rStyle w:val="normaltextrun"/>
          <w:i/>
          <w:iCs/>
          <w:lang w:val="es-ES"/>
        </w:rPr>
        <w:t> </w:t>
      </w:r>
    </w:p>
    <w:p w14:paraId="2F3DEB3C" w14:textId="77777777" w:rsidR="002F6919" w:rsidRPr="001A2F25" w:rsidRDefault="002F6919" w:rsidP="00E40629">
      <w:pPr>
        <w:pStyle w:val="paragraph"/>
        <w:spacing w:before="0" w:beforeAutospacing="0" w:after="0" w:afterAutospacing="0"/>
        <w:ind w:right="270"/>
        <w:jc w:val="both"/>
        <w:textAlignment w:val="baseline"/>
        <w:rPr>
          <w:rStyle w:val="normaltextrun"/>
          <w:rFonts w:ascii="Bookman Old Style" w:hAnsi="Bookman Old Style"/>
          <w:i/>
          <w:iCs/>
          <w:lang w:val="es-ES"/>
        </w:rPr>
      </w:pPr>
    </w:p>
    <w:p w14:paraId="10A44141" w14:textId="7D94310A" w:rsidR="00E40629" w:rsidRPr="001A2F25" w:rsidRDefault="00E40629" w:rsidP="001A3546">
      <w:pPr>
        <w:pStyle w:val="paragraph"/>
        <w:numPr>
          <w:ilvl w:val="0"/>
          <w:numId w:val="13"/>
        </w:numPr>
        <w:spacing w:before="0" w:beforeAutospacing="0" w:after="0" w:afterAutospacing="0"/>
        <w:ind w:right="270"/>
        <w:jc w:val="both"/>
        <w:textAlignment w:val="baseline"/>
        <w:rPr>
          <w:rStyle w:val="normaltextrun"/>
          <w:rFonts w:ascii="Bookman Old Style" w:hAnsi="Bookman Old Style"/>
          <w:i/>
          <w:iCs/>
          <w:lang w:val="es-ES"/>
        </w:rPr>
      </w:pPr>
      <w:r w:rsidRPr="001A2F25">
        <w:rPr>
          <w:rStyle w:val="normaltextrun"/>
          <w:rFonts w:ascii="Bookman Old Style" w:hAnsi="Bookman Old Style" w:cs="Segoe UI"/>
          <w:i/>
          <w:iCs/>
          <w:lang w:val="es-ES"/>
        </w:rPr>
        <w:t>Aplicación Artículo 7 Resolución CREG 175 de 2021.</w:t>
      </w:r>
      <w:r w:rsidRPr="001A2F25">
        <w:rPr>
          <w:rStyle w:val="normaltextrun"/>
          <w:i/>
          <w:iCs/>
          <w:lang w:val="es-ES"/>
        </w:rPr>
        <w:t> </w:t>
      </w:r>
    </w:p>
    <w:p w14:paraId="48C22048" w14:textId="77777777" w:rsidR="002F6919" w:rsidRPr="001A2F25" w:rsidRDefault="002F6919"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086820FA" w14:textId="0277CB62" w:rsidR="00E40629" w:rsidRPr="001A2F25" w:rsidRDefault="00E40629" w:rsidP="001A3546">
      <w:pPr>
        <w:pStyle w:val="paragraph"/>
        <w:spacing w:before="0" w:beforeAutospacing="0" w:after="0" w:afterAutospacing="0"/>
        <w:ind w:left="708" w:right="270"/>
        <w:jc w:val="both"/>
        <w:textAlignment w:val="baseline"/>
        <w:rPr>
          <w:rStyle w:val="normaltextrun"/>
          <w:i/>
          <w:iCs/>
          <w:lang w:val="es-ES"/>
        </w:rPr>
      </w:pPr>
      <w:r w:rsidRPr="001A2F25">
        <w:rPr>
          <w:rStyle w:val="normaltextrun"/>
          <w:rFonts w:ascii="Bookman Old Style" w:hAnsi="Bookman Old Style" w:cs="Segoe UI"/>
          <w:i/>
          <w:iCs/>
          <w:lang w:val="es-ES"/>
        </w:rPr>
        <w:t xml:space="preserve">Sobre este punto y como ha sido ampliamente expuesto a lo largo del presente recurso, la Comisión al resolver sobre la aplicación del artículo 7 de la Resolución CREG 175 de 2021, sin que exista pronunciamiento de fondo sobre la solicitud de modificación tarifaria presentada por </w:t>
      </w:r>
      <w:proofErr w:type="spellStart"/>
      <w:r w:rsidRPr="001A2F25">
        <w:rPr>
          <w:rStyle w:val="normaltextrun"/>
          <w:rFonts w:ascii="Bookman Old Style" w:hAnsi="Bookman Old Style" w:cs="Segoe UI"/>
          <w:i/>
          <w:iCs/>
          <w:lang w:val="es-ES"/>
        </w:rPr>
        <w:t>Vanti</w:t>
      </w:r>
      <w:proofErr w:type="spellEnd"/>
      <w:r w:rsidRPr="001A2F25">
        <w:rPr>
          <w:rStyle w:val="normaltextrun"/>
          <w:rFonts w:ascii="Bookman Old Style" w:hAnsi="Bookman Old Style" w:cs="Segoe UI"/>
          <w:i/>
          <w:iCs/>
          <w:lang w:val="es-ES"/>
        </w:rPr>
        <w:t xml:space="preserve"> en relación con la inconveniencia y efectos lesivos precisamente de ese artículo, se viola el debido proceso y por ende dicha omisión tiene la virtualidad de afectar el análisis de la solicitud de ajuste de cargos presentada por TGI. Así mismo, la Comisión no presenta el análisis que soporte aplicación de este artículo, lo cual es el eje central del objeto de la actuación administrativa.</w:t>
      </w:r>
      <w:r w:rsidRPr="001A2F25">
        <w:rPr>
          <w:rStyle w:val="normaltextrun"/>
          <w:i/>
          <w:iCs/>
          <w:lang w:val="es-ES"/>
        </w:rPr>
        <w:t> </w:t>
      </w:r>
    </w:p>
    <w:p w14:paraId="0D07C6A5" w14:textId="77777777" w:rsidR="002F6919" w:rsidRPr="001A2F25" w:rsidRDefault="002F6919" w:rsidP="001A3546">
      <w:pPr>
        <w:pStyle w:val="paragraph"/>
        <w:spacing w:before="0" w:beforeAutospacing="0" w:after="0" w:afterAutospacing="0"/>
        <w:ind w:left="708" w:right="270"/>
        <w:jc w:val="both"/>
        <w:textAlignment w:val="baseline"/>
        <w:rPr>
          <w:rStyle w:val="normaltextrun"/>
          <w:rFonts w:ascii="Bookman Old Style" w:hAnsi="Bookman Old Style"/>
          <w:i/>
          <w:iCs/>
          <w:lang w:val="es-ES"/>
        </w:rPr>
      </w:pPr>
    </w:p>
    <w:p w14:paraId="1DC5B971" w14:textId="77777777" w:rsidR="00E40629" w:rsidRDefault="00E40629" w:rsidP="001A3546">
      <w:pPr>
        <w:pStyle w:val="paragraph"/>
        <w:spacing w:before="0" w:beforeAutospacing="0" w:after="0" w:afterAutospacing="0"/>
        <w:ind w:left="708" w:right="270"/>
        <w:jc w:val="both"/>
        <w:textAlignment w:val="baseline"/>
        <w:rPr>
          <w:rFonts w:ascii="Segoe UI" w:hAnsi="Segoe UI" w:cs="Segoe UI"/>
          <w:b/>
          <w:bCs/>
          <w:sz w:val="18"/>
          <w:szCs w:val="18"/>
        </w:rPr>
      </w:pPr>
      <w:r>
        <w:rPr>
          <w:rStyle w:val="normaltextrun"/>
          <w:rFonts w:ascii="Bookman Old Style" w:hAnsi="Bookman Old Style" w:cs="Segoe UI"/>
          <w:i/>
          <w:iCs/>
          <w:lang w:val="es-ES"/>
        </w:rPr>
        <w:t>Debe señalarse que, con la notificación por Aviso identificada con el S202200358 de 30 de agosto de 2022, no se hace referencia a documento soporte alguno que sea remitido con el acto administrativo tal y como consta en el certificado de envío (…).</w:t>
      </w:r>
      <w:r>
        <w:rPr>
          <w:rStyle w:val="eop"/>
          <w:rFonts w:ascii="Bookman Old Style" w:hAnsi="Bookman Old Style" w:cs="Segoe UI"/>
          <w:b/>
          <w:bCs/>
        </w:rPr>
        <w:t> </w:t>
      </w:r>
    </w:p>
    <w:p w14:paraId="481C501D" w14:textId="77777777" w:rsidR="002F6919" w:rsidRDefault="002F6919" w:rsidP="00E40629">
      <w:pPr>
        <w:pStyle w:val="paragraph"/>
        <w:spacing w:before="0" w:beforeAutospacing="0" w:after="0" w:afterAutospacing="0"/>
        <w:ind w:right="270"/>
        <w:jc w:val="both"/>
        <w:textAlignment w:val="baseline"/>
        <w:rPr>
          <w:rStyle w:val="normaltextrun"/>
          <w:rFonts w:ascii="Bookman Old Style" w:hAnsi="Bookman Old Style" w:cs="Segoe UI"/>
          <w:i/>
          <w:iCs/>
          <w:lang w:val="es-ES"/>
        </w:rPr>
      </w:pPr>
    </w:p>
    <w:p w14:paraId="3F55C0B9" w14:textId="447D8AC9" w:rsidR="00E40629" w:rsidRDefault="00E40629" w:rsidP="001A3546">
      <w:pPr>
        <w:pStyle w:val="paragraph"/>
        <w:spacing w:before="0" w:beforeAutospacing="0" w:after="0" w:afterAutospacing="0"/>
        <w:ind w:right="27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Con base en lo anterior, consideramos que la Resolución CREG 502 024 de 2022 carece de motivación teniendo en cuenta que el contenido de la misma no presenta los análisis efectuados por la Comisión para los ajustes de los cargos, no se expone en sus considerandos la existencia de dicho documento soporte y de análisis y justificación de las decisiones tomadas, así como tampoco dentro de su cuerpo se hace remisión expresa a documento que los contenga y que </w:t>
      </w:r>
      <w:r>
        <w:rPr>
          <w:rStyle w:val="normaltextrun"/>
          <w:rFonts w:ascii="Bookman Old Style" w:hAnsi="Bookman Old Style" w:cs="Segoe UI"/>
          <w:i/>
          <w:iCs/>
          <w:lang w:val="es-ES"/>
        </w:rPr>
        <w:lastRenderedPageBreak/>
        <w:t>haga parte integral de la resolución; en conclusión, en la resolución no existe motivación al no estar autocontenido el soporte de la decisión.</w:t>
      </w:r>
    </w:p>
    <w:p w14:paraId="57CF3F6A" w14:textId="77777777" w:rsidR="00E40629" w:rsidRPr="001A3546" w:rsidRDefault="00E40629" w:rsidP="00E40629">
      <w:pPr>
        <w:pStyle w:val="paragraph"/>
        <w:spacing w:before="0" w:beforeAutospacing="0" w:after="0" w:afterAutospacing="0"/>
        <w:jc w:val="both"/>
        <w:textAlignment w:val="baseline"/>
        <w:rPr>
          <w:rFonts w:ascii="Segoe UI" w:hAnsi="Segoe UI" w:cs="Segoe UI"/>
          <w:i/>
          <w:sz w:val="18"/>
          <w:szCs w:val="18"/>
        </w:rPr>
      </w:pPr>
      <w:r>
        <w:rPr>
          <w:rStyle w:val="eop"/>
          <w:rFonts w:ascii="Bookman Old Style" w:hAnsi="Bookman Old Style" w:cs="Segoe UI"/>
        </w:rPr>
        <w:t> </w:t>
      </w:r>
    </w:p>
    <w:p w14:paraId="05454394" w14:textId="4D3E4401" w:rsidR="00095625" w:rsidRDefault="00E40629" w:rsidP="0065642B">
      <w:pPr>
        <w:pStyle w:val="paragraph"/>
        <w:numPr>
          <w:ilvl w:val="0"/>
          <w:numId w:val="11"/>
        </w:numPr>
        <w:spacing w:before="0" w:beforeAutospacing="0" w:after="0" w:afterAutospacing="0"/>
        <w:ind w:firstLine="0"/>
        <w:jc w:val="both"/>
        <w:textAlignment w:val="baseline"/>
        <w:rPr>
          <w:rFonts w:ascii="Segoe UI" w:hAnsi="Segoe UI" w:cs="Segoe UI"/>
          <w:i/>
          <w:iCs/>
          <w:sz w:val="18"/>
          <w:szCs w:val="18"/>
        </w:rPr>
      </w:pPr>
      <w:r w:rsidRPr="001A3546">
        <w:rPr>
          <w:rStyle w:val="normaltextrun"/>
          <w:rFonts w:ascii="Bookman Old Style" w:hAnsi="Bookman Old Style" w:cs="Segoe UI"/>
          <w:b/>
          <w:i/>
          <w:lang w:val="es-ES"/>
        </w:rPr>
        <w:t>Sobre remuneración injusta al transportador – lesión injusta a los intereses de los usuarios o de la empresa que podría materializarse con la Resolución 502 024 de 2022.</w:t>
      </w:r>
      <w:r w:rsidRPr="001A3546">
        <w:rPr>
          <w:rStyle w:val="eop"/>
          <w:rFonts w:ascii="Bookman Old Style" w:hAnsi="Bookman Old Style" w:cs="Segoe UI"/>
          <w:i/>
        </w:rPr>
        <w:t> </w:t>
      </w:r>
    </w:p>
    <w:p w14:paraId="5EAA6517" w14:textId="77777777" w:rsidR="0065642B" w:rsidRDefault="0065642B" w:rsidP="0065642B">
      <w:pPr>
        <w:pStyle w:val="paragraph"/>
        <w:spacing w:before="0" w:beforeAutospacing="0" w:after="0" w:afterAutospacing="0"/>
        <w:jc w:val="both"/>
        <w:textAlignment w:val="baseline"/>
        <w:rPr>
          <w:rStyle w:val="normaltextrun"/>
          <w:rFonts w:ascii="Bookman Old Style" w:hAnsi="Bookman Old Style" w:cs="Segoe UI"/>
          <w:lang w:val="es-ES"/>
        </w:rPr>
      </w:pPr>
    </w:p>
    <w:p w14:paraId="2DD03DF2" w14:textId="4714D53C" w:rsidR="00E40629" w:rsidRPr="001A3546" w:rsidRDefault="00E40629" w:rsidP="0065642B">
      <w:pPr>
        <w:pStyle w:val="paragraph"/>
        <w:spacing w:before="0" w:beforeAutospacing="0" w:after="0" w:afterAutospacing="0"/>
        <w:jc w:val="both"/>
        <w:textAlignment w:val="baseline"/>
        <w:rPr>
          <w:rStyle w:val="eop"/>
          <w:rFonts w:ascii="Segoe UI" w:hAnsi="Segoe UI" w:cs="Segoe UI"/>
          <w:i/>
          <w:sz w:val="18"/>
          <w:szCs w:val="18"/>
        </w:rPr>
      </w:pPr>
      <w:r>
        <w:rPr>
          <w:rStyle w:val="normaltextrun"/>
          <w:rFonts w:ascii="Bookman Old Style" w:hAnsi="Bookman Old Style" w:cs="Segoe UI"/>
          <w:lang w:val="es-ES"/>
        </w:rPr>
        <w:t>(…)</w:t>
      </w:r>
      <w:r>
        <w:rPr>
          <w:rStyle w:val="eop"/>
          <w:rFonts w:ascii="Bookman Old Style" w:hAnsi="Bookman Old Style" w:cs="Segoe UI"/>
        </w:rPr>
        <w:t> </w:t>
      </w:r>
    </w:p>
    <w:p w14:paraId="28E525B6" w14:textId="77777777"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Como fue expuesto en la solicitud de modificación tarifaria formulada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(radicado E-2022-005045), la aplicación de la metodología tarifaria contenida en la Resolución CREG 175 de 2021, y en consecuencia del artículo 14 de la Resolución CREG 126 de 2010, sobre remunera de manera injusta a los transportadores y esto tendrá un efecto directo en la tarifa final, lo cual es lesivo para los usuarios ya que les causa un perjuicio que no están en el deber legal de soportar. Por ello, se impone que la CREG como regulador del mercado, revoque la resolución recurrida y suspenda la decisión de la actuación administrativa, hasta tanto no resuelva la solicitud de modificación tarifaria por lesión injusta a los derechos de los usuarios y a las empresas, presentada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pendiente de ser resuelta.</w:t>
      </w:r>
      <w:r>
        <w:rPr>
          <w:rStyle w:val="eop"/>
          <w:rFonts w:ascii="Bookman Old Style" w:hAnsi="Bookman Old Style" w:cs="Segoe UI"/>
        </w:rPr>
        <w:t> </w:t>
      </w:r>
    </w:p>
    <w:p w14:paraId="2A2BCA4C" w14:textId="77777777" w:rsidR="00C33045" w:rsidRDefault="00C33045"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9E484D1" w14:textId="457810DD"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La aplicación de la metodología y por ende de la Resolución CREG 502 024 de 2022, lesiona grave e injustamente a los usuarios y hace nugatorios los derechos de éstos y de las empresas desconociendo lo establecido en el artículo 126 de la Ley 142 de 1994 y principios superiores vulnerados con estas actuaciones recientes del regulador.</w:t>
      </w:r>
      <w:r>
        <w:rPr>
          <w:rStyle w:val="eop"/>
          <w:rFonts w:ascii="Bookman Old Style" w:hAnsi="Bookman Old Style" w:cs="Segoe UI"/>
        </w:rPr>
        <w:t> </w:t>
      </w:r>
    </w:p>
    <w:p w14:paraId="233FC0D5" w14:textId="77777777" w:rsidR="00C33045" w:rsidRDefault="00C33045"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4EC82DA0" w14:textId="33216580"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De no revocarse la Resolución CREG 502 024 de 2022 se materializarán los siguientes efectos lesivos para los usuarios del sistema de transporte de TGI:</w:t>
      </w:r>
      <w:r>
        <w:rPr>
          <w:rStyle w:val="eop"/>
          <w:rFonts w:ascii="Bookman Old Style" w:hAnsi="Bookman Old Style" w:cs="Segoe UI"/>
        </w:rPr>
        <w:t> </w:t>
      </w:r>
    </w:p>
    <w:p w14:paraId="708B3BF2" w14:textId="77777777"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El principal efecto lesivo para los usuarios de gas natural en Colombia, causado por la Resolución CREG 502 024 de 2022 es el aumento injustificado en tarifas que viene como consecuencia del reconocimiento de nuevos valores de inversión para TGI.</w:t>
      </w:r>
      <w:r>
        <w:rPr>
          <w:rStyle w:val="eop"/>
          <w:rFonts w:ascii="Bookman Old Style" w:hAnsi="Bookman Old Style" w:cs="Segoe UI"/>
        </w:rPr>
        <w:t> </w:t>
      </w:r>
    </w:p>
    <w:p w14:paraId="4E122004" w14:textId="77777777" w:rsidR="00C33045" w:rsidRDefault="00C33045"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2887B78A" w14:textId="586FA4CD"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Pr>
          <w:rStyle w:val="eop"/>
          <w:rFonts w:ascii="Bookman Old Style" w:hAnsi="Bookman Old Style" w:cs="Segoe UI"/>
        </w:rPr>
        <w:t> </w:t>
      </w:r>
    </w:p>
    <w:p w14:paraId="1D1082CA" w14:textId="77777777" w:rsidR="00C33045" w:rsidRDefault="00C33045"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998F016" w14:textId="62E5984C"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En consecuencia, de comenzar a aplicarse estas nuevas tarifas, la afectación para los usuarios finales será enorme ya que serán estos los que terminen pagando los incrementos. Lo anterior, sin perjuicio de la disminución en competitividad que estaría perdiendo este energético que resulta ser clave para avanzar en la transición energética del país.</w:t>
      </w:r>
      <w:r>
        <w:rPr>
          <w:rStyle w:val="eop"/>
          <w:rFonts w:ascii="Bookman Old Style" w:hAnsi="Bookman Old Style" w:cs="Segoe UI"/>
        </w:rPr>
        <w:t> </w:t>
      </w:r>
    </w:p>
    <w:p w14:paraId="6830D14E" w14:textId="77777777" w:rsidR="00C33045" w:rsidRDefault="00C33045"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B3F7CB7" w14:textId="71EE6C2B" w:rsidR="00E40629" w:rsidRDefault="00E40629"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r>
        <w:rPr>
          <w:rStyle w:val="normaltextrun"/>
          <w:rFonts w:ascii="Bookman Old Style" w:hAnsi="Bookman Old Style" w:cs="Segoe UI"/>
          <w:i/>
          <w:iCs/>
          <w:lang w:val="es-ES"/>
        </w:rPr>
        <w:t xml:space="preserve">Es con base en estas cifras señaladas de incrementos que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solicita corregir el error grave de reconocer sobre remuneraciones al transportador que no ha tenido que incurrir en tales costos. Nótese cómo mediante esta resolución que se recurre, se estaría privando a los usuarios de percibir la disminución en tarifa que se logra luego de que la CREG redujera la tasa de costo de capital para la actividad de transporte de gas natural. Esto es, todo el esfuerzo realizado por el regulador en su intención de aprobar tarifas y cargos eficientes se estaría suprimiendo con la aplicación de esta resolución.</w:t>
      </w:r>
    </w:p>
    <w:p w14:paraId="70477513" w14:textId="77777777" w:rsidR="0065642B" w:rsidRDefault="0065642B" w:rsidP="00E40629">
      <w:pPr>
        <w:pStyle w:val="paragraph"/>
        <w:spacing w:before="0" w:beforeAutospacing="0" w:after="0" w:afterAutospacing="0"/>
        <w:jc w:val="both"/>
        <w:textAlignment w:val="baseline"/>
        <w:rPr>
          <w:rFonts w:ascii="Segoe UI" w:hAnsi="Segoe UI" w:cs="Segoe UI"/>
          <w:sz w:val="18"/>
          <w:szCs w:val="18"/>
        </w:rPr>
      </w:pPr>
    </w:p>
    <w:p w14:paraId="3DAC7A95" w14:textId="3E161E4E" w:rsidR="00E40629" w:rsidRPr="001A3546" w:rsidRDefault="00E40629" w:rsidP="0065642B">
      <w:pPr>
        <w:pStyle w:val="paragraph"/>
        <w:numPr>
          <w:ilvl w:val="0"/>
          <w:numId w:val="11"/>
        </w:numPr>
        <w:spacing w:before="0" w:beforeAutospacing="0" w:after="0" w:afterAutospacing="0"/>
        <w:ind w:firstLine="0"/>
        <w:jc w:val="both"/>
        <w:textAlignment w:val="baseline"/>
        <w:rPr>
          <w:rFonts w:ascii="Segoe UI" w:hAnsi="Segoe UI" w:cs="Segoe UI"/>
          <w:i/>
          <w:sz w:val="18"/>
          <w:szCs w:val="18"/>
        </w:rPr>
      </w:pPr>
      <w:r w:rsidRPr="001A3546">
        <w:rPr>
          <w:rStyle w:val="normaltextrun"/>
          <w:rFonts w:ascii="Bookman Old Style" w:hAnsi="Bookman Old Style" w:cs="Segoe UI"/>
          <w:b/>
          <w:i/>
          <w:lang w:val="es-ES"/>
        </w:rPr>
        <w:lastRenderedPageBreak/>
        <w:t>Coherencia regulatoria – violación injusta a los intereses de los usuarios de los sistemas de transporte de gas natural.</w:t>
      </w:r>
      <w:r w:rsidRPr="001A3546">
        <w:rPr>
          <w:rStyle w:val="eop"/>
          <w:rFonts w:ascii="Bookman Old Style" w:hAnsi="Bookman Old Style" w:cs="Segoe UI"/>
          <w:i/>
        </w:rPr>
        <w:t> </w:t>
      </w:r>
    </w:p>
    <w:p w14:paraId="1CCB5806" w14:textId="77777777" w:rsidR="002D5C1E" w:rsidRDefault="002D5C1E"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1CE775C8" w14:textId="61E92C03"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w:t>
      </w:r>
      <w:r>
        <w:rPr>
          <w:rStyle w:val="eop"/>
          <w:rFonts w:ascii="Bookman Old Style" w:hAnsi="Bookman Old Style" w:cs="Segoe UI"/>
        </w:rPr>
        <w:t> </w:t>
      </w:r>
    </w:p>
    <w:p w14:paraId="7FE5E603" w14:textId="77777777" w:rsidR="002D5C1E" w:rsidRDefault="002D5C1E"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69E305A" w14:textId="0207CA3B"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La Resolución CREG 175 de 2021, lesiona injustamente los intereses los usuarios -actuales y potenciales, regulados y no regulados- de los sistemas de transporte. Esta circunstancia se deriva como se expuso ampliamente en la solicitud de modificación tarifaria basada en el artículo 126 de la Ley 142 de 1994 formulada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de una incorrecta aplicación de los criterios y principios legales que rigen el régimen tarifario y que se han establecido en la Constitución Política de Colombia, así como en la Ley 142 de 1994, en especial en su artículo 87.</w:t>
      </w:r>
      <w:r>
        <w:rPr>
          <w:rStyle w:val="eop"/>
          <w:rFonts w:ascii="Bookman Old Style" w:hAnsi="Bookman Old Style" w:cs="Segoe UI"/>
        </w:rPr>
        <w:t> </w:t>
      </w:r>
    </w:p>
    <w:p w14:paraId="056E7A72" w14:textId="77777777" w:rsidR="00A740FB" w:rsidRDefault="00A740FB"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2DB1DD77" w14:textId="1F7FD080"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Lo anterior exige que el regulador, en ejercicio de sus facultades legales proceda a la modificación correspondiente, antes de la actualización de cargos de que trata el artículo 6 de la Resolución CREG 175 de 2021 y de la aplicación de sus disposiciones, las cuales constituyen la base de los cargos de transporte en el próximo período tarifario, que deberán ser asumidos por los remitentes y los usuarios del servicio; lo anterior, en concordancia con los fines y principios que rigen la intervención del Estado en la economía y las actuaciones administrativas de la CREG.</w:t>
      </w:r>
      <w:r>
        <w:rPr>
          <w:rStyle w:val="eop"/>
          <w:rFonts w:ascii="Bookman Old Style" w:hAnsi="Bookman Old Style" w:cs="Segoe UI"/>
        </w:rPr>
        <w:t> </w:t>
      </w:r>
    </w:p>
    <w:p w14:paraId="6BEE9D36" w14:textId="77777777" w:rsidR="001779B8" w:rsidRDefault="001779B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1B89DFF2" w14:textId="5531A0B2"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Los efectos lesivos de la aplicación de la metodología y por tanto la lesión injusta a los intereses de los usuarios y de las empresas se derivan del incremento injustificado que se reitera, sufrirán las tarifas de transporte debido a, entre otros:</w:t>
      </w:r>
      <w:r>
        <w:rPr>
          <w:rStyle w:val="eop"/>
          <w:rFonts w:ascii="Bookman Old Style" w:hAnsi="Bookman Old Style" w:cs="Segoe UI"/>
        </w:rPr>
        <w:t> </w:t>
      </w:r>
    </w:p>
    <w:p w14:paraId="3F84D026" w14:textId="77777777" w:rsidR="001779B8" w:rsidRDefault="001779B8" w:rsidP="00E40629">
      <w:pPr>
        <w:pStyle w:val="paragraph"/>
        <w:spacing w:before="0" w:beforeAutospacing="0" w:after="0" w:afterAutospacing="0"/>
        <w:ind w:left="705"/>
        <w:jc w:val="both"/>
        <w:textAlignment w:val="baseline"/>
        <w:rPr>
          <w:rStyle w:val="normaltextrun"/>
          <w:rFonts w:ascii="Bookman Old Style" w:hAnsi="Bookman Old Style" w:cs="Segoe UI"/>
          <w:i/>
          <w:iCs/>
          <w:lang w:val="es-ES"/>
        </w:rPr>
      </w:pPr>
    </w:p>
    <w:p w14:paraId="136105DB" w14:textId="31934ED4" w:rsidR="00E40629" w:rsidRDefault="00E40629" w:rsidP="001A3546">
      <w:pPr>
        <w:pStyle w:val="paragraph"/>
        <w:numPr>
          <w:ilvl w:val="0"/>
          <w:numId w:val="9"/>
        </w:numPr>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La sobre remuneración injustificada de activos del transportador, producto de las valoraciones de la inversión a reconocer en aquellos activos que hayan cumplido la vida útil normativa antes del año 2021, afectándose así el principio tarifario de eficiencia; circunstancia que se deriva desde lo dispuesto en el artículo 14 de la Resolución CREG 126 de 2010 y que no fue modificado –pudiendo haberse hecho y pudiendo hacerse aún hoy </w:t>
      </w:r>
      <w:r w:rsidR="005676A3">
        <w:rPr>
          <w:rStyle w:val="normaltextrun"/>
          <w:rFonts w:ascii="Bookman Old Style" w:hAnsi="Bookman Old Style" w:cs="Segoe UI"/>
          <w:i/>
          <w:iCs/>
          <w:lang w:val="es-ES"/>
        </w:rPr>
        <w:t>–</w:t>
      </w:r>
      <w:r>
        <w:rPr>
          <w:rStyle w:val="normaltextrun"/>
          <w:rFonts w:ascii="Bookman Old Style" w:hAnsi="Bookman Old Style" w:cs="Segoe UI"/>
          <w:i/>
          <w:iCs/>
          <w:lang w:val="es-ES"/>
        </w:rPr>
        <w:t xml:space="preserve"> en la Resolución CREG 175 de 2021.</w:t>
      </w:r>
      <w:r>
        <w:rPr>
          <w:rStyle w:val="eop"/>
          <w:rFonts w:ascii="Bookman Old Style" w:hAnsi="Bookman Old Style" w:cs="Segoe UI"/>
        </w:rPr>
        <w:t> </w:t>
      </w:r>
    </w:p>
    <w:p w14:paraId="198331F3" w14:textId="77777777" w:rsidR="001779B8" w:rsidRDefault="001779B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0C2A6C37" w14:textId="0EF9A031"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En cuanto a los efectos de la aplicación de las metodologías de transporte, en particular del procedimiento contenido en el artículo 14 de la Resolución CREG 126 de 2010 </w:t>
      </w:r>
      <w:proofErr w:type="gramStart"/>
      <w:r>
        <w:rPr>
          <w:rStyle w:val="normaltextrun"/>
          <w:rFonts w:ascii="Bookman Old Style" w:hAnsi="Bookman Old Style" w:cs="Segoe UI"/>
          <w:i/>
          <w:iCs/>
          <w:lang w:val="es-ES"/>
        </w:rPr>
        <w:t>en razón de</w:t>
      </w:r>
      <w:proofErr w:type="gramEnd"/>
      <w:r>
        <w:rPr>
          <w:rStyle w:val="normaltextrun"/>
          <w:rFonts w:ascii="Bookman Old Style" w:hAnsi="Bookman Old Style" w:cs="Segoe UI"/>
          <w:i/>
          <w:iCs/>
          <w:lang w:val="es-ES"/>
        </w:rPr>
        <w:t xml:space="preserve"> lo dispuesto en el artículo 7 de la Resolución CREG 175 de 2021, aplicado por los transportadores arroja una sobre remuneración injustificada en la valoración de la base de activos de los transportadores y desconoce el principio de eficiencia.</w:t>
      </w:r>
      <w:r>
        <w:rPr>
          <w:rStyle w:val="eop"/>
          <w:rFonts w:ascii="Bookman Old Style" w:hAnsi="Bookman Old Style" w:cs="Segoe UI"/>
        </w:rPr>
        <w:t> </w:t>
      </w:r>
    </w:p>
    <w:p w14:paraId="35198A45" w14:textId="77777777" w:rsidR="001779B8" w:rsidRDefault="001779B8"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528642A9" w14:textId="7161196E"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Tal y como hemos manifestado, más allá de lo que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denomina el “período tarifario inicial”, no puede hablarse de expectativas legítimas de los transportadores ni de mantener una señal regulatoria errónea, ya que, desde 2016 la CREG emitió la Resolución CREG 090 de 2016 con la que se hizo público el proyecto de resolución de carácter general: “Por la cual se establecen los criterios generales para la remuneración del servicio de transporte de gas natural y el esquema general de cargos del Sistema Nacional de Transporte, y se dictan otras disposiciones en materia de transporte de gas natural”, con lo cual era previsible una modificación a la metodología tarifaria; cosa distinta es que esta actuación se haya extendido hasta el año 2021 momento para el que la CREG emitió la </w:t>
      </w:r>
      <w:r>
        <w:rPr>
          <w:rStyle w:val="normaltextrun"/>
          <w:rFonts w:ascii="Bookman Old Style" w:hAnsi="Bookman Old Style" w:cs="Segoe UI"/>
          <w:i/>
          <w:iCs/>
          <w:lang w:val="es-ES"/>
        </w:rPr>
        <w:lastRenderedPageBreak/>
        <w:t>Resolución CREG 175 de 2021. Tampoco puede pretenderse que más allá de dicho “período tarifario inicial”, se inicie una actuación administrativa -la que culminó con la Resolución CREG 99 de 2021 modificada por la 231 del mismo año- que se extienda por 6 años -sobrepasando a todas luces lo establecido en la Ley 142 de 1994-, basada en una metodología lesiva -la contenida en el art. 14 de la Resolución CREG 126 de 2010-, tramitada en paralelo con los análisis de la nueva metodología tarifaria y que sus efectos deban permanecer, en pro de dar prevalencia a eventuales expectativas pretendidamente legítimas o a los eventuales derechos adquiridos del transportador. Lo anterior, por cuanto en todo tiempo, corresponde al regulador velar por la correcta aplicación de los principios superiores que determinan su actuar, y por tanto, permitir la permanencia de un error o una lesión injusta para los intereses de los usuarios o de las empresas remitentes, desvirtúa cualquier legitimidad en la pretensión de estabilidad o confianza de las decisiones adoptadas por el regulador con base en el artículo 14 de la Resolución CREG 126 de 2010 y ahora por virtud del artículo 7 de la Resolución CRE 175 de 2021.</w:t>
      </w:r>
      <w:r>
        <w:rPr>
          <w:rStyle w:val="eop"/>
          <w:rFonts w:ascii="Bookman Old Style" w:hAnsi="Bookman Old Style" w:cs="Segoe UI"/>
        </w:rPr>
        <w:t> </w:t>
      </w:r>
    </w:p>
    <w:p w14:paraId="43AE68A4"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03B82E95" w14:textId="039D46B6"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Así las cosas, es claro que corresponde al regulador, estudiar la solicitud de modificación tarifaria presentada por </w:t>
      </w:r>
      <w:proofErr w:type="spellStart"/>
      <w:r>
        <w:rPr>
          <w:rStyle w:val="normaltextrun"/>
          <w:rFonts w:ascii="Bookman Old Style" w:hAnsi="Bookman Old Style" w:cs="Segoe UI"/>
          <w:i/>
          <w:iCs/>
          <w:lang w:val="es-ES"/>
        </w:rPr>
        <w:t>Vanti</w:t>
      </w:r>
      <w:proofErr w:type="spellEnd"/>
      <w:r>
        <w:rPr>
          <w:rStyle w:val="normaltextrun"/>
          <w:rFonts w:ascii="Bookman Old Style" w:hAnsi="Bookman Old Style" w:cs="Segoe UI"/>
          <w:i/>
          <w:iCs/>
          <w:lang w:val="es-ES"/>
        </w:rPr>
        <w:t xml:space="preserve"> y efectuar las modificaciones correspondientes encaminadas a evitar las lesiones injustas y el daño antijurídico que se vislumbra para usuarios y remitentes; lo anterior, aun cuando sus propios actos hayan generado resoluciones de carácter particular. Todo esto, en atención al interés público imperioso contrario, esto es el de usuarios y empresas remitentes, que en este caso se constituye a nuestro juicio, en uno superior al de los transportadores. </w:t>
      </w:r>
      <w:r>
        <w:rPr>
          <w:rStyle w:val="eop"/>
          <w:rFonts w:ascii="Bookman Old Style" w:hAnsi="Bookman Old Style" w:cs="Segoe UI"/>
        </w:rPr>
        <w:t> </w:t>
      </w:r>
    </w:p>
    <w:p w14:paraId="3FAF465C"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4BDFADCB" w14:textId="2C43CA29"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En relación con los actos administrativos particulares emitidos y derivados del artículo 14 de la Resolución CREG 126 de 2010, en particular de aquellos emitidos luego del “período tarifario inicial”, esto es luego del año 2016, no puede predicarse ningún principio de estabilidad, ya que el error metodológico y sus efectos lesivos no pueden, por el hecho de haberse expedido, perdurar en el tiempo en desmedro de derechos de los usuarios y los remitentes, de los fines de la intervención del Estado en la economía y de los principios del régimen tarifario.</w:t>
      </w:r>
      <w:r>
        <w:rPr>
          <w:rStyle w:val="eop"/>
          <w:rFonts w:ascii="Bookman Old Style" w:hAnsi="Bookman Old Style" w:cs="Segoe UI"/>
        </w:rPr>
        <w:t> </w:t>
      </w:r>
    </w:p>
    <w:p w14:paraId="65E89D3D"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5F1B3044" w14:textId="51CAA354"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Pr>
          <w:rStyle w:val="eop"/>
          <w:rFonts w:ascii="Bookman Old Style" w:hAnsi="Bookman Old Style" w:cs="Segoe UI"/>
        </w:rPr>
        <w:t> </w:t>
      </w:r>
    </w:p>
    <w:p w14:paraId="3A90C275"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311793A5" w14:textId="0B9DAA09"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De no corregirse las fallas identificadas, se generarán perjuicios que los usuarios no están en el deber legal de soportar, se afectarán los principios mismos de la regulación, los mandatos legales y constitucionales superiores de los que debe derivar la actuación de la CREG.</w:t>
      </w:r>
      <w:r>
        <w:rPr>
          <w:rStyle w:val="eop"/>
          <w:rFonts w:ascii="Bookman Old Style" w:hAnsi="Bookman Old Style" w:cs="Segoe UI"/>
        </w:rPr>
        <w:t> </w:t>
      </w:r>
    </w:p>
    <w:p w14:paraId="3FBBC095"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087ECD7" w14:textId="0D66E715"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Por lo expuesto, se solicita a la CREG iniciar de oficio una actuación administrativa para revocar por violación al debido proceso, las resoluciones particulares mediante las cuales se ajustan los cargos regulados de los sistemas de transporte que no tengan en trámite actualización de cargos con base en el artículo 7 de la metodología tarifaria contenida en la Resolución CREG 175 de 2021, es decir que para la fecha de este escrito se encuentren en firme, así como para cualquier otra que se base en este procedimiento.</w:t>
      </w:r>
      <w:r>
        <w:rPr>
          <w:rStyle w:val="eop"/>
          <w:rFonts w:ascii="Bookman Old Style" w:hAnsi="Bookman Old Style" w:cs="Segoe UI"/>
        </w:rPr>
        <w:t> </w:t>
      </w:r>
    </w:p>
    <w:p w14:paraId="1B1DD934"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2995F462" w14:textId="3B53DBA3"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Para el caso de TGI se tiene que el procedimiento propuesto por el regulador desde 2010 en la metodología contenida en la Resolución 126 del mismo año y aplicado </w:t>
      </w:r>
      <w:r>
        <w:rPr>
          <w:rStyle w:val="normaltextrun"/>
          <w:rFonts w:ascii="Bookman Old Style" w:hAnsi="Bookman Old Style" w:cs="Segoe UI"/>
          <w:i/>
          <w:iCs/>
          <w:lang w:val="es-ES"/>
        </w:rPr>
        <w:lastRenderedPageBreak/>
        <w:t>por solicitud del transportador en el año 2015 -es decir luego de vencido el “período tarifario inicial”-, arroja como resultado de lo dispuesto en las resoluciones CREG 099 y 231 de 2021, para los gasoductos troncales, ramales y Estaciones de Compresión de TGI, un incremento injustificado de la base de activos del transportador de un orden de magnitud de $525 MUSD a precios de 2021.</w:t>
      </w:r>
      <w:r>
        <w:rPr>
          <w:rStyle w:val="eop"/>
          <w:rFonts w:ascii="Bookman Old Style" w:hAnsi="Bookman Old Style" w:cs="Segoe UI"/>
        </w:rPr>
        <w:t> </w:t>
      </w:r>
    </w:p>
    <w:p w14:paraId="2166017E"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8CD2C3D" w14:textId="78B3B650"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Este incremento en la base de activos del transportador TGI resulta injustificado por cuanto, a precios de 2009, se pasa de una inversión reconocida en tarifa del orden de los $1380 MUSD a un Valor del Activo si se mantiene en Operación (VAO) del orden de los $1830 MUSD. Este aumento del 33% en el valor del activo reconocido es producto de la aplicación de la metodología de estimación de costo de reposición a nuevo del activo prevista en la Resolución CREG 126 de 2010, y que al no tenerse en cuenta el costo histórico remunerado de éste, implica en sí una sobre remuneración de las inversiones existentes del transportador, que no debe asumir la demanda.</w:t>
      </w:r>
      <w:r>
        <w:rPr>
          <w:rStyle w:val="eop"/>
          <w:rFonts w:ascii="Bookman Old Style" w:hAnsi="Bookman Old Style" w:cs="Segoe UI"/>
        </w:rPr>
        <w:t> </w:t>
      </w:r>
    </w:p>
    <w:p w14:paraId="0F9E9F18"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2271BCA" w14:textId="3BE65D86"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Pr>
          <w:rStyle w:val="eop"/>
          <w:rFonts w:ascii="Bookman Old Style" w:hAnsi="Bookman Old Style" w:cs="Segoe UI"/>
        </w:rPr>
        <w:t> </w:t>
      </w:r>
    </w:p>
    <w:p w14:paraId="6DF6BE74"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6162097E" w14:textId="57E9A2E2"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Permitir una sobre valoración de activos, y por ende generar una sobre remuneración a uno de los agentes de la cadena de la prestación del servicio de gas natural, implica el claro desconocimiento de los postulados de eficiencia, y ello además de reñir con las funciones del regulador, lesiona injustamente los intereses de los usuarios y de las empresas remitentes del servicio del transporte, afectando, además, la competitividad del gas natural</w:t>
      </w:r>
      <w:r w:rsidR="00FC75A6">
        <w:rPr>
          <w:rStyle w:val="normaltextrun"/>
          <w:rFonts w:ascii="Bookman Old Style" w:hAnsi="Bookman Old Style" w:cs="Segoe UI"/>
          <w:i/>
          <w:iCs/>
          <w:lang w:val="es-ES"/>
        </w:rPr>
        <w:t>.</w:t>
      </w:r>
    </w:p>
    <w:p w14:paraId="33BF44C0" w14:textId="2D09E009" w:rsidR="00E40629" w:rsidRDefault="00E40629" w:rsidP="00FC75A6">
      <w:pPr>
        <w:pStyle w:val="paragraph"/>
        <w:spacing w:before="0" w:beforeAutospacing="0" w:after="0" w:afterAutospacing="0"/>
        <w:jc w:val="both"/>
        <w:textAlignment w:val="baseline"/>
        <w:rPr>
          <w:rFonts w:ascii="Segoe UI" w:hAnsi="Segoe UI" w:cs="Segoe UI"/>
          <w:sz w:val="18"/>
          <w:szCs w:val="18"/>
        </w:rPr>
      </w:pPr>
      <w:r>
        <w:rPr>
          <w:rStyle w:val="eop"/>
          <w:rFonts w:ascii="Bookman Old Style" w:hAnsi="Bookman Old Style" w:cs="Segoe UI"/>
        </w:rPr>
        <w:t> </w:t>
      </w:r>
    </w:p>
    <w:p w14:paraId="4BBD5516" w14:textId="7B43D65B" w:rsidR="00E40629" w:rsidRDefault="00E40629" w:rsidP="0065642B">
      <w:pPr>
        <w:pStyle w:val="paragraph"/>
        <w:numPr>
          <w:ilvl w:val="0"/>
          <w:numId w:val="11"/>
        </w:numPr>
        <w:spacing w:before="0" w:beforeAutospacing="0" w:after="0" w:afterAutospacing="0"/>
        <w:ind w:firstLine="0"/>
        <w:jc w:val="both"/>
        <w:textAlignment w:val="baseline"/>
        <w:rPr>
          <w:rFonts w:ascii="Segoe UI" w:hAnsi="Segoe UI" w:cs="Segoe UI"/>
          <w:sz w:val="18"/>
          <w:szCs w:val="18"/>
        </w:rPr>
      </w:pPr>
      <w:r>
        <w:rPr>
          <w:rStyle w:val="normaltextrun"/>
          <w:rFonts w:ascii="Bookman Old Style" w:hAnsi="Bookman Old Style" w:cs="Segoe UI"/>
          <w:b/>
          <w:bCs/>
          <w:lang w:val="es-ES"/>
        </w:rPr>
        <w:t>Se impone la protección al interés público por encima de cualquier expectativa basada en la metodología tarifaria </w:t>
      </w:r>
      <w:r>
        <w:rPr>
          <w:rStyle w:val="eop"/>
          <w:rFonts w:ascii="Bookman Old Style" w:hAnsi="Bookman Old Style" w:cs="Segoe UI"/>
        </w:rPr>
        <w:t> </w:t>
      </w:r>
    </w:p>
    <w:p w14:paraId="260D0ED4"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397616F1" w14:textId="1976E4A1"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Pr>
          <w:rStyle w:val="eop"/>
          <w:rFonts w:ascii="Bookman Old Style" w:hAnsi="Bookman Old Style" w:cs="Segoe UI"/>
        </w:rPr>
        <w:t> </w:t>
      </w:r>
    </w:p>
    <w:p w14:paraId="4072B1B1"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025AEF40" w14:textId="2F8FF33A"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Si bien pudiera pensarse que las decisiones amparadas en el artículo 7 de la Resolución CREG 175 de 2021 y por ende del 14 de la Resolución CREG 126 de 2010 no pueden modificarse en razón del principio de confianza legítima, es preciso señalar que tal y como se ha reiterado por la jurisprudencia, este principio no es absoluto, debe ser ponderado, en el caso concreto, con garantías como son la salvaguarda del interés general y el principio democrático por encima de preservar un error que favorece a los transportadores y perjudica a los usuarios del servicios. En este sentido y tal como corresponde a todas las autoridades, la CREG tiene la obligación de preservar un comportamiento acorde con sus propios actos –en este caso, la metodología-, salvo que exista un interés público imperioso contrario.</w:t>
      </w:r>
      <w:r>
        <w:rPr>
          <w:rStyle w:val="eop"/>
          <w:rFonts w:ascii="Bookman Old Style" w:hAnsi="Bookman Old Style" w:cs="Segoe UI"/>
        </w:rPr>
        <w:t> </w:t>
      </w:r>
    </w:p>
    <w:p w14:paraId="22C65C3C" w14:textId="77777777" w:rsidR="008A4E77" w:rsidRDefault="008A4E77"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2AF31735" w14:textId="383504E9" w:rsidR="00F65050" w:rsidRDefault="00F65050"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r>
        <w:rPr>
          <w:rStyle w:val="normaltextrun"/>
          <w:rFonts w:ascii="Bookman Old Style" w:hAnsi="Bookman Old Style" w:cs="Segoe UI"/>
          <w:i/>
          <w:iCs/>
          <w:lang w:val="es-ES"/>
        </w:rPr>
        <w:t xml:space="preserve">(…) </w:t>
      </w:r>
    </w:p>
    <w:p w14:paraId="5C8633CA" w14:textId="77777777" w:rsidR="00F65050" w:rsidRDefault="00F65050"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7599199A" w14:textId="561CD3B8"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 xml:space="preserve">si bien los transportadores pudieron creer tener expectativas legítimas en cuanto a la aplicación del artículo 7 de la Resolución 175 de 2021 y por ende del 14 de la Resolución CREG 126 de 2010, en la medida en que los efectos de dicha aplicación se contraponen con los fines mismos de la regulación, hacen nugatorios los principios del régimen tarifario que como el de eficiencia constituyen un pilar fundamental del mismo, y lesionan de manera injusta los intereses de los usuarios </w:t>
      </w:r>
      <w:r>
        <w:rPr>
          <w:rStyle w:val="normaltextrun"/>
          <w:rFonts w:ascii="Bookman Old Style" w:hAnsi="Bookman Old Style" w:cs="Segoe UI"/>
          <w:i/>
          <w:iCs/>
          <w:lang w:val="es-ES"/>
        </w:rPr>
        <w:lastRenderedPageBreak/>
        <w:t>y las empresas remitentes, corresponde al regulador ponderar dicho interés público contrario y corregir la falla regulatoria identificada.</w:t>
      </w:r>
      <w:r>
        <w:rPr>
          <w:rStyle w:val="eop"/>
          <w:rFonts w:ascii="Bookman Old Style" w:hAnsi="Bookman Old Style" w:cs="Segoe UI"/>
        </w:rPr>
        <w:t> </w:t>
      </w:r>
    </w:p>
    <w:p w14:paraId="35486A90" w14:textId="77777777" w:rsidR="00F65050" w:rsidRDefault="00F65050"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0D78215C" w14:textId="19B0F8E0"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Así pues, la CREG debe evaluar el principio de confianza legítima de los transportadores frente a los efectos lesivos que la sobre remuneración de los activos de TGI (con base en un error metodológico) acarreará para los usuarios y las empresas; dichos intereses de los usuarios y empresas -que se lesionan injustamente en virtud de la sobre remuneración de activos derivada de la aplicación de la metodología tarifaria- se constituyen en el interés público que resulta imperioso a ponderar. </w:t>
      </w:r>
      <w:r>
        <w:rPr>
          <w:rStyle w:val="eop"/>
          <w:rFonts w:ascii="Bookman Old Style" w:hAnsi="Bookman Old Style" w:cs="Segoe UI"/>
        </w:rPr>
        <w:t> </w:t>
      </w:r>
    </w:p>
    <w:p w14:paraId="511EDA64" w14:textId="77777777" w:rsidR="00F65050" w:rsidRDefault="00F65050"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54A48CEE" w14:textId="4E41E5EF"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A nuestro juicio no resulta válido predicar una expectativa legítima, cumplimiento de una señal regulatoria o eventuales derechos adquiridos por virtud de la vigencia de las Resoluciones de carácter particular como la que se recurre, así como de la Resolución CREG 099 modificada por la 231 de 2021 -para mencionar sólo las aplicables a TGI-, cuando se está ante lesiones graves a los derechos de los usuarios y de las empresas remitentes por virtud de la aplicación, por fuera del período tarifario inicial, esto es con posterioridad al año 2015, de lo dispuesto en la metodología.</w:t>
      </w:r>
      <w:r>
        <w:rPr>
          <w:rStyle w:val="eop"/>
          <w:rFonts w:ascii="Bookman Old Style" w:hAnsi="Bookman Old Style" w:cs="Segoe UI"/>
        </w:rPr>
        <w:t> </w:t>
      </w:r>
    </w:p>
    <w:p w14:paraId="1C2B2D71" w14:textId="77777777" w:rsidR="00F65050" w:rsidRDefault="00F65050" w:rsidP="00E40629">
      <w:pPr>
        <w:pStyle w:val="paragraph"/>
        <w:spacing w:before="0" w:beforeAutospacing="0" w:after="0" w:afterAutospacing="0"/>
        <w:jc w:val="both"/>
        <w:textAlignment w:val="baseline"/>
        <w:rPr>
          <w:rStyle w:val="normaltextrun"/>
          <w:rFonts w:ascii="Bookman Old Style" w:hAnsi="Bookman Old Style" w:cs="Segoe UI"/>
          <w:i/>
          <w:iCs/>
          <w:lang w:val="es-ES"/>
        </w:rPr>
      </w:pPr>
    </w:p>
    <w:p w14:paraId="47BF5D61" w14:textId="3184DD88" w:rsidR="00E40629" w:rsidRDefault="00E40629" w:rsidP="00E40629">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i/>
          <w:iCs/>
          <w:lang w:val="es-ES"/>
        </w:rPr>
        <w:t>(…)</w:t>
      </w:r>
      <w:r w:rsidR="00FC75A6">
        <w:rPr>
          <w:rStyle w:val="eop"/>
          <w:rFonts w:ascii="Bookman Old Style" w:hAnsi="Bookman Old Style" w:cs="Segoe UI"/>
        </w:rPr>
        <w:t>”</w:t>
      </w:r>
    </w:p>
    <w:p w14:paraId="75E1E9C1" w14:textId="77777777" w:rsidR="00FC75A6" w:rsidRDefault="00E40629" w:rsidP="00E40629">
      <w:pPr>
        <w:pStyle w:val="paragraph"/>
        <w:spacing w:before="0" w:beforeAutospacing="0" w:after="0" w:afterAutospacing="0"/>
        <w:jc w:val="both"/>
        <w:textAlignment w:val="baseline"/>
        <w:rPr>
          <w:rStyle w:val="eop"/>
          <w:rFonts w:ascii="Bookman Old Style" w:hAnsi="Bookman Old Style" w:cs="Segoe UI"/>
        </w:rPr>
      </w:pPr>
      <w:r>
        <w:rPr>
          <w:rStyle w:val="eop"/>
          <w:rFonts w:ascii="Bookman Old Style" w:hAnsi="Bookman Old Style" w:cs="Segoe UI"/>
        </w:rPr>
        <w:t> </w:t>
      </w:r>
    </w:p>
    <w:p w14:paraId="1A88AE2F" w14:textId="66FBE761" w:rsidR="008E5CE5" w:rsidRDefault="008E5CE5" w:rsidP="000E1983">
      <w:pPr>
        <w:pStyle w:val="Tit1"/>
        <w:numPr>
          <w:ilvl w:val="2"/>
          <w:numId w:val="7"/>
        </w:numPr>
        <w:ind w:left="0" w:firstLine="52"/>
      </w:pPr>
      <w:r>
        <w:t>Análisis</w:t>
      </w:r>
      <w:r w:rsidR="000223D6">
        <w:t xml:space="preserve"> del r</w:t>
      </w:r>
      <w:r>
        <w:t>ecurso</w:t>
      </w:r>
      <w:r w:rsidR="000223D6">
        <w:t xml:space="preserve"> de</w:t>
      </w:r>
      <w:r>
        <w:t xml:space="preserve"> VANTI</w:t>
      </w:r>
    </w:p>
    <w:p w14:paraId="25D582B7" w14:textId="40A1367A" w:rsidR="00B93308" w:rsidRDefault="00B93308" w:rsidP="00DE5C0F">
      <w:pPr>
        <w:rPr>
          <w:b/>
          <w:lang w:eastAsia="es-ES"/>
        </w:rPr>
      </w:pPr>
    </w:p>
    <w:p w14:paraId="6E1F7727" w14:textId="5D952837" w:rsidR="006C176E" w:rsidRPr="006C176E" w:rsidRDefault="006C176E" w:rsidP="001A3546">
      <w:pPr>
        <w:jc w:val="both"/>
        <w:rPr>
          <w:bCs/>
          <w:lang w:eastAsia="es-ES"/>
        </w:rPr>
      </w:pPr>
      <w:r>
        <w:rPr>
          <w:bCs/>
          <w:lang w:eastAsia="es-ES"/>
        </w:rPr>
        <w:t>Teniendo en cuenta las solicitude</w:t>
      </w:r>
      <w:r w:rsidR="00D55D87">
        <w:rPr>
          <w:bCs/>
          <w:lang w:eastAsia="es-ES"/>
        </w:rPr>
        <w:t xml:space="preserve">s y sustentos presentados por </w:t>
      </w:r>
      <w:proofErr w:type="spellStart"/>
      <w:r w:rsidR="00D55D87">
        <w:rPr>
          <w:bCs/>
          <w:lang w:eastAsia="es-ES"/>
        </w:rPr>
        <w:t>Vanti</w:t>
      </w:r>
      <w:proofErr w:type="spellEnd"/>
      <w:r w:rsidR="00D55D87">
        <w:rPr>
          <w:bCs/>
          <w:lang w:eastAsia="es-ES"/>
        </w:rPr>
        <w:t>, esta Comisión desarrollará su análisis</w:t>
      </w:r>
      <w:r w:rsidR="00391B01">
        <w:rPr>
          <w:bCs/>
          <w:lang w:eastAsia="es-ES"/>
        </w:rPr>
        <w:t xml:space="preserve"> describiendo los criterios generales</w:t>
      </w:r>
      <w:r w:rsidR="00C31BA7">
        <w:rPr>
          <w:bCs/>
          <w:lang w:eastAsia="es-ES"/>
        </w:rPr>
        <w:t xml:space="preserve"> para adopción de la decisión descrita en la Resolución CREG 502 024 de 2021</w:t>
      </w:r>
      <w:r w:rsidR="000E5CB5">
        <w:rPr>
          <w:bCs/>
          <w:lang w:eastAsia="es-ES"/>
        </w:rPr>
        <w:t>. P</w:t>
      </w:r>
      <w:r w:rsidR="00D91020">
        <w:rPr>
          <w:bCs/>
          <w:lang w:eastAsia="es-ES"/>
        </w:rPr>
        <w:t>osteriormente</w:t>
      </w:r>
      <w:r w:rsidR="000E5CB5">
        <w:rPr>
          <w:bCs/>
          <w:lang w:eastAsia="es-ES"/>
        </w:rPr>
        <w:t>,</w:t>
      </w:r>
      <w:r w:rsidR="00D91020">
        <w:rPr>
          <w:bCs/>
          <w:lang w:eastAsia="es-ES"/>
        </w:rPr>
        <w:t xml:space="preserve"> </w:t>
      </w:r>
      <w:r w:rsidR="00315E1D">
        <w:rPr>
          <w:bCs/>
          <w:lang w:eastAsia="es-ES"/>
        </w:rPr>
        <w:t xml:space="preserve">se da respuesta a los cuestionamientos referentes a la solicitud </w:t>
      </w:r>
      <w:r w:rsidR="00DA58A5">
        <w:rPr>
          <w:bCs/>
          <w:lang w:eastAsia="es-ES"/>
        </w:rPr>
        <w:t xml:space="preserve">de </w:t>
      </w:r>
      <w:proofErr w:type="spellStart"/>
      <w:r w:rsidR="00DA58A5">
        <w:rPr>
          <w:bCs/>
          <w:lang w:eastAsia="es-ES"/>
        </w:rPr>
        <w:t>Vanti</w:t>
      </w:r>
      <w:proofErr w:type="spellEnd"/>
      <w:r w:rsidR="003E45E5">
        <w:rPr>
          <w:bCs/>
          <w:lang w:eastAsia="es-ES"/>
        </w:rPr>
        <w:t xml:space="preserve"> (</w:t>
      </w:r>
      <w:r w:rsidR="00DA58A5">
        <w:rPr>
          <w:bCs/>
          <w:lang w:eastAsia="es-ES"/>
        </w:rPr>
        <w:t>en trámite</w:t>
      </w:r>
      <w:r w:rsidR="003E45E5">
        <w:rPr>
          <w:bCs/>
          <w:lang w:eastAsia="es-ES"/>
        </w:rPr>
        <w:t xml:space="preserve"> de análisis),</w:t>
      </w:r>
      <w:r w:rsidR="00DA58A5">
        <w:rPr>
          <w:bCs/>
          <w:lang w:eastAsia="es-ES"/>
        </w:rPr>
        <w:t xml:space="preserve"> de revisión</w:t>
      </w:r>
      <w:r w:rsidR="0008768B">
        <w:rPr>
          <w:bCs/>
          <w:lang w:eastAsia="es-ES"/>
        </w:rPr>
        <w:t xml:space="preserve"> de la Resolución CREG 175 de 2021</w:t>
      </w:r>
      <w:r w:rsidR="00DA58A5">
        <w:rPr>
          <w:bCs/>
          <w:lang w:eastAsia="es-ES"/>
        </w:rPr>
        <w:t xml:space="preserve"> por error grave y lesión injusta a los usuarios conforme </w:t>
      </w:r>
      <w:r w:rsidR="0008768B">
        <w:rPr>
          <w:bCs/>
          <w:lang w:eastAsia="es-ES"/>
        </w:rPr>
        <w:t>al artículo 126 de la Ley 142 de 1994</w:t>
      </w:r>
      <w:r w:rsidR="0075209A">
        <w:rPr>
          <w:bCs/>
          <w:lang w:eastAsia="es-ES"/>
        </w:rPr>
        <w:t>, para finalmente considerar el análisis puntual sobre las peticiones</w:t>
      </w:r>
      <w:r w:rsidR="00971A15">
        <w:rPr>
          <w:bCs/>
          <w:lang w:eastAsia="es-ES"/>
        </w:rPr>
        <w:t xml:space="preserve"> del recurso.</w:t>
      </w:r>
    </w:p>
    <w:p w14:paraId="11FC493F" w14:textId="70833783" w:rsidR="002400DE" w:rsidRDefault="00B05BD1" w:rsidP="00EB7CCF">
      <w:pPr>
        <w:pStyle w:val="Tit1"/>
        <w:numPr>
          <w:ilvl w:val="3"/>
          <w:numId w:val="7"/>
        </w:numPr>
        <w:ind w:left="709"/>
      </w:pPr>
      <w:r>
        <w:t>Criterios generales c</w:t>
      </w:r>
      <w:r w:rsidR="008557F0" w:rsidRPr="00B9318D">
        <w:t>onsidera</w:t>
      </w:r>
      <w:r>
        <w:t>dos</w:t>
      </w:r>
      <w:r w:rsidR="008557F0" w:rsidRPr="00B9318D">
        <w:t xml:space="preserve"> para</w:t>
      </w:r>
      <w:r w:rsidR="00C34876">
        <w:t xml:space="preserve"> la</w:t>
      </w:r>
      <w:r w:rsidR="008557F0" w:rsidRPr="00B9318D">
        <w:t xml:space="preserve"> expedición de la </w:t>
      </w:r>
      <w:r w:rsidR="00910AB2">
        <w:t xml:space="preserve">   </w:t>
      </w:r>
      <w:r w:rsidR="008557F0" w:rsidRPr="00B9318D">
        <w:t>Resolución CREG 502 024 de 2022.</w:t>
      </w:r>
    </w:p>
    <w:p w14:paraId="1A9C92FF" w14:textId="77777777" w:rsidR="00B23664" w:rsidRPr="00B23664" w:rsidRDefault="00B23664" w:rsidP="00D42104">
      <w:pPr>
        <w:spacing w:after="0"/>
        <w:rPr>
          <w:lang w:eastAsia="es-ES"/>
        </w:rPr>
      </w:pPr>
    </w:p>
    <w:p w14:paraId="0E8308FF" w14:textId="380BC046" w:rsidR="002400DE" w:rsidRPr="00E67F8E" w:rsidRDefault="009D23AD" w:rsidP="000E1983">
      <w:pPr>
        <w:pStyle w:val="Tit1"/>
        <w:numPr>
          <w:ilvl w:val="4"/>
          <w:numId w:val="7"/>
        </w:numPr>
        <w:ind w:left="426" w:firstLine="0"/>
        <w:rPr>
          <w:b w:val="0"/>
          <w:bCs/>
        </w:rPr>
      </w:pPr>
      <w:r w:rsidRPr="00E67F8E">
        <w:rPr>
          <w:b w:val="0"/>
          <w:bCs/>
        </w:rPr>
        <w:t>Competencia de la Comisión</w:t>
      </w:r>
    </w:p>
    <w:p w14:paraId="66A63238" w14:textId="77777777" w:rsidR="00B23664" w:rsidRPr="00B23664" w:rsidRDefault="00B23664" w:rsidP="00B23664">
      <w:pPr>
        <w:rPr>
          <w:lang w:eastAsia="es-ES"/>
        </w:rPr>
      </w:pPr>
    </w:p>
    <w:p w14:paraId="6B7779AA" w14:textId="3BC4465E" w:rsidR="00BF4BAE" w:rsidRDefault="00BF4BAE" w:rsidP="00CE43DC">
      <w:pPr>
        <w:jc w:val="both"/>
        <w:rPr>
          <w:lang w:eastAsia="es-ES"/>
        </w:rPr>
      </w:pPr>
      <w:r w:rsidRPr="00BF4BAE">
        <w:rPr>
          <w:lang w:eastAsia="es-ES"/>
        </w:rPr>
        <w:t>Amparada en lo previsto en la ley</w:t>
      </w:r>
      <w:r w:rsidR="00DE0A57">
        <w:rPr>
          <w:lang w:eastAsia="es-ES"/>
        </w:rPr>
        <w:t xml:space="preserve"> 142</w:t>
      </w:r>
      <w:r w:rsidRPr="00BF4BAE">
        <w:rPr>
          <w:lang w:eastAsia="es-ES"/>
        </w:rPr>
        <w:t> de 1994, l</w:t>
      </w:r>
      <w:r w:rsidR="00237928">
        <w:rPr>
          <w:lang w:eastAsia="es-ES"/>
        </w:rPr>
        <w:t>os</w:t>
      </w:r>
      <w:r w:rsidR="00CE43DC">
        <w:rPr>
          <w:lang w:eastAsia="es-ES"/>
        </w:rPr>
        <w:t xml:space="preserve"> D</w:t>
      </w:r>
      <w:r w:rsidRPr="00BF4BAE">
        <w:rPr>
          <w:lang w:eastAsia="es-ES"/>
        </w:rPr>
        <w:t>ecretos</w:t>
      </w:r>
      <w:r w:rsidR="00DE0A57">
        <w:rPr>
          <w:lang w:eastAsia="es-ES"/>
        </w:rPr>
        <w:t xml:space="preserve"> 2253 </w:t>
      </w:r>
      <w:r w:rsidRPr="00BF4BAE">
        <w:rPr>
          <w:lang w:eastAsia="es-ES"/>
        </w:rPr>
        <w:t>de 1994</w:t>
      </w:r>
      <w:r w:rsidR="00237928">
        <w:rPr>
          <w:lang w:eastAsia="es-ES"/>
        </w:rPr>
        <w:t xml:space="preserve"> y</w:t>
      </w:r>
      <w:r w:rsidR="00DE0A57">
        <w:rPr>
          <w:lang w:eastAsia="es-ES"/>
        </w:rPr>
        <w:t xml:space="preserve"> 1260</w:t>
      </w:r>
      <w:r w:rsidR="00304D7C">
        <w:rPr>
          <w:lang w:eastAsia="es-ES"/>
        </w:rPr>
        <w:t xml:space="preserve"> </w:t>
      </w:r>
      <w:r w:rsidRPr="00BF4BAE">
        <w:rPr>
          <w:lang w:eastAsia="es-ES"/>
        </w:rPr>
        <w:t>de 2013, y en especial lo dispuesto en</w:t>
      </w:r>
      <w:r w:rsidR="00DE0A57">
        <w:rPr>
          <w:lang w:eastAsia="es-ES"/>
        </w:rPr>
        <w:t xml:space="preserve"> los artículos </w:t>
      </w:r>
      <w:r w:rsidR="00412248">
        <w:rPr>
          <w:lang w:eastAsia="es-ES"/>
        </w:rPr>
        <w:t>6 y 7</w:t>
      </w:r>
      <w:r w:rsidRPr="00BF4BAE">
        <w:rPr>
          <w:lang w:eastAsia="es-ES"/>
        </w:rPr>
        <w:t xml:space="preserve"> de la Resolución CREG </w:t>
      </w:r>
      <w:r w:rsidR="00412248">
        <w:rPr>
          <w:lang w:eastAsia="es-ES"/>
        </w:rPr>
        <w:t>175</w:t>
      </w:r>
      <w:r w:rsidRPr="00BF4BAE">
        <w:rPr>
          <w:lang w:eastAsia="es-ES"/>
        </w:rPr>
        <w:t xml:space="preserve"> de 20</w:t>
      </w:r>
      <w:r w:rsidR="00412248">
        <w:rPr>
          <w:lang w:eastAsia="es-ES"/>
        </w:rPr>
        <w:t>21</w:t>
      </w:r>
      <w:r w:rsidRPr="00BF4BAE">
        <w:rPr>
          <w:lang w:eastAsia="es-ES"/>
        </w:rPr>
        <w:t>, y lo dispuesto en el Código de Procedimiento Administrativo y de lo Contencioso Administrativo, la Comisión de Regulación de Energía y Gas, mediante la Resolución CREG</w:t>
      </w:r>
      <w:r w:rsidR="00412248">
        <w:rPr>
          <w:lang w:eastAsia="es-ES"/>
        </w:rPr>
        <w:t xml:space="preserve"> 502 024 </w:t>
      </w:r>
      <w:r w:rsidRPr="00BF4BAE">
        <w:rPr>
          <w:lang w:eastAsia="es-ES"/>
        </w:rPr>
        <w:t>de 202</w:t>
      </w:r>
      <w:r w:rsidR="00412248">
        <w:rPr>
          <w:lang w:eastAsia="es-ES"/>
        </w:rPr>
        <w:t>1</w:t>
      </w:r>
      <w:r w:rsidRPr="00BF4BAE">
        <w:rPr>
          <w:lang w:eastAsia="es-ES"/>
        </w:rPr>
        <w:t>, resolvió la actuación administrativa y</w:t>
      </w:r>
      <w:r w:rsidR="00C66168" w:rsidRPr="00C66168">
        <w:rPr>
          <w:lang w:eastAsia="es-ES"/>
        </w:rPr>
        <w:t xml:space="preserve"> ajust</w:t>
      </w:r>
      <w:r w:rsidR="005309B4">
        <w:rPr>
          <w:lang w:eastAsia="es-ES"/>
        </w:rPr>
        <w:t>ó</w:t>
      </w:r>
      <w:r w:rsidR="00C66168" w:rsidRPr="00C66168">
        <w:rPr>
          <w:lang w:eastAsia="es-ES"/>
        </w:rPr>
        <w:t xml:space="preserve"> los cargos regulados del sistema de transporte de TGI S.A. E.S.P.</w:t>
      </w:r>
    </w:p>
    <w:p w14:paraId="689F8399" w14:textId="77777777" w:rsidR="005309B4" w:rsidRPr="00BF4BAE" w:rsidRDefault="005309B4" w:rsidP="001A3546">
      <w:pPr>
        <w:jc w:val="both"/>
        <w:rPr>
          <w:lang w:eastAsia="es-ES"/>
        </w:rPr>
      </w:pPr>
    </w:p>
    <w:p w14:paraId="61836BF6" w14:textId="1B956E36" w:rsidR="00BF4BAE" w:rsidRDefault="00BF4BAE" w:rsidP="00CE43DC">
      <w:pPr>
        <w:jc w:val="both"/>
        <w:rPr>
          <w:lang w:eastAsia="es-ES"/>
        </w:rPr>
      </w:pPr>
      <w:r w:rsidRPr="00BF4BAE">
        <w:rPr>
          <w:lang w:eastAsia="es-ES"/>
        </w:rPr>
        <w:t xml:space="preserve">Lo anterior atendiendo las funciones asignadas a esta Comisión, en especial aquellas relacionadas con la definición del costo de prestación del servicio de </w:t>
      </w:r>
      <w:r w:rsidR="00BA5763">
        <w:rPr>
          <w:lang w:eastAsia="es-ES"/>
        </w:rPr>
        <w:t>gas natural</w:t>
      </w:r>
      <w:r w:rsidRPr="00BF4BAE">
        <w:rPr>
          <w:lang w:eastAsia="es-ES"/>
        </w:rPr>
        <w:t>, según lo previsto en la Ley </w:t>
      </w:r>
      <w:r w:rsidR="00BA5763">
        <w:rPr>
          <w:lang w:eastAsia="es-ES"/>
        </w:rPr>
        <w:t>142</w:t>
      </w:r>
      <w:r w:rsidRPr="00BF4BAE">
        <w:rPr>
          <w:lang w:eastAsia="es-ES"/>
        </w:rPr>
        <w:t> de 1994:</w:t>
      </w:r>
    </w:p>
    <w:p w14:paraId="64666578" w14:textId="77777777" w:rsidR="00BA5763" w:rsidRPr="001A3546" w:rsidRDefault="00BA5763" w:rsidP="00D42104">
      <w:pPr>
        <w:spacing w:after="240"/>
        <w:ind w:left="709"/>
        <w:contextualSpacing w:val="0"/>
        <w:jc w:val="both"/>
        <w:rPr>
          <w:i/>
          <w:lang w:eastAsia="es-ES"/>
        </w:rPr>
      </w:pPr>
    </w:p>
    <w:p w14:paraId="09D1AA4A" w14:textId="519AB2CB" w:rsidR="00BF4BAE" w:rsidRPr="001A3546" w:rsidRDefault="00BF4BAE" w:rsidP="001B292C">
      <w:pPr>
        <w:ind w:left="284"/>
        <w:jc w:val="both"/>
        <w:rPr>
          <w:sz w:val="22"/>
          <w:szCs w:val="20"/>
          <w:lang w:eastAsia="es-ES"/>
        </w:rPr>
      </w:pPr>
      <w:r w:rsidRPr="001A3546">
        <w:rPr>
          <w:i/>
          <w:sz w:val="22"/>
          <w:szCs w:val="20"/>
          <w:lang w:eastAsia="es-ES"/>
        </w:rPr>
        <w:lastRenderedPageBreak/>
        <w:t>“(…) Artículo</w:t>
      </w:r>
      <w:r w:rsidR="00834A60" w:rsidRPr="001A3546">
        <w:rPr>
          <w:i/>
          <w:sz w:val="22"/>
          <w:szCs w:val="20"/>
          <w:lang w:eastAsia="es-ES"/>
        </w:rPr>
        <w:t xml:space="preserve"> 73</w:t>
      </w:r>
      <w:r w:rsidRPr="001A3546">
        <w:rPr>
          <w:i/>
          <w:sz w:val="22"/>
          <w:szCs w:val="20"/>
          <w:lang w:eastAsia="es-ES"/>
        </w:rPr>
        <w:t>. </w:t>
      </w:r>
      <w:r w:rsidRPr="001A3546">
        <w:rPr>
          <w:b/>
          <w:i/>
          <w:sz w:val="22"/>
          <w:szCs w:val="20"/>
          <w:u w:val="single"/>
          <w:lang w:eastAsia="es-ES"/>
        </w:rPr>
        <w:t>Funciones y facultades generales</w:t>
      </w:r>
      <w:r w:rsidRPr="001A3546">
        <w:rPr>
          <w:i/>
          <w:sz w:val="22"/>
          <w:szCs w:val="20"/>
          <w:lang w:eastAsia="es-ES"/>
        </w:rPr>
        <w:t>. Las comisiones de regulación tienen la función de regular los monopolios en la prestación de los servicios públicos, cuando la competencia no sea, de hecho, posible; y, en los demás casos, la de promover la competencia entre quienes presten servicios públicos, para que las operaciones de los monopolistas o de los competidores sean económicamente eficientes, no impliquen abusos de la posición dominante, y produzcan servicios de calidad. Para ello tendrá las siguientes funciones y facultades especiales: (…)</w:t>
      </w:r>
    </w:p>
    <w:p w14:paraId="4B7E9E44" w14:textId="27153EA2" w:rsidR="00BF4BAE" w:rsidRPr="001A3546" w:rsidRDefault="00BF4BAE" w:rsidP="001B292C">
      <w:pPr>
        <w:ind w:left="284"/>
        <w:jc w:val="both"/>
        <w:rPr>
          <w:i/>
          <w:sz w:val="22"/>
          <w:szCs w:val="20"/>
          <w:lang w:eastAsia="es-ES"/>
        </w:rPr>
      </w:pPr>
      <w:r w:rsidRPr="001A3546">
        <w:rPr>
          <w:i/>
          <w:sz w:val="22"/>
          <w:szCs w:val="20"/>
          <w:lang w:eastAsia="es-ES"/>
        </w:rPr>
        <w:t>73.11. </w:t>
      </w:r>
      <w:r w:rsidRPr="001A3546">
        <w:rPr>
          <w:b/>
          <w:i/>
          <w:sz w:val="22"/>
          <w:szCs w:val="20"/>
          <w:u w:val="single"/>
          <w:lang w:eastAsia="es-ES"/>
        </w:rPr>
        <w:t>Establecer fórmulas para la fijación de las tarifas de los servicios públicos</w:t>
      </w:r>
      <w:r w:rsidRPr="001A3546">
        <w:rPr>
          <w:i/>
          <w:sz w:val="22"/>
          <w:szCs w:val="20"/>
          <w:lang w:eastAsia="es-ES"/>
        </w:rPr>
        <w:t>, cuando ello corresponda según lo previsto en el artículo</w:t>
      </w:r>
      <w:r w:rsidR="003E4E96" w:rsidRPr="001A3546">
        <w:rPr>
          <w:i/>
          <w:sz w:val="22"/>
          <w:szCs w:val="20"/>
          <w:lang w:eastAsia="es-ES"/>
        </w:rPr>
        <w:t xml:space="preserve"> 88</w:t>
      </w:r>
      <w:r w:rsidRPr="001A3546">
        <w:rPr>
          <w:i/>
          <w:sz w:val="22"/>
          <w:szCs w:val="20"/>
          <w:lang w:eastAsia="es-ES"/>
        </w:rPr>
        <w:t>; y señalar cuándo hay suficiente competencia como para que la fijación de las tarifas sea libre. (…)</w:t>
      </w:r>
    </w:p>
    <w:p w14:paraId="44FECE84" w14:textId="77777777" w:rsidR="00CE09DD" w:rsidRPr="001A3546" w:rsidRDefault="00CE09DD" w:rsidP="001B292C">
      <w:pPr>
        <w:widowControl w:val="0"/>
        <w:spacing w:after="0"/>
        <w:ind w:left="284"/>
        <w:jc w:val="both"/>
        <w:rPr>
          <w:rFonts w:eastAsia="Times New Roman" w:cs="Times New Roman"/>
          <w:i/>
          <w:color w:val="000000" w:themeColor="text1"/>
          <w:sz w:val="22"/>
          <w:lang w:eastAsia="es-ES"/>
        </w:rPr>
      </w:pPr>
    </w:p>
    <w:p w14:paraId="538A782F" w14:textId="592A9F5F" w:rsidR="00BF4BAE" w:rsidRPr="001A3546" w:rsidRDefault="00BF4BAE" w:rsidP="001B292C">
      <w:pPr>
        <w:ind w:left="284"/>
        <w:jc w:val="both"/>
        <w:rPr>
          <w:i/>
          <w:sz w:val="22"/>
          <w:szCs w:val="20"/>
          <w:lang w:eastAsia="es-ES"/>
        </w:rPr>
      </w:pPr>
      <w:r w:rsidRPr="001A3546">
        <w:rPr>
          <w:i/>
          <w:sz w:val="22"/>
          <w:szCs w:val="20"/>
          <w:lang w:eastAsia="es-ES"/>
        </w:rPr>
        <w:t>Artículo</w:t>
      </w:r>
      <w:r w:rsidR="00FB4B45" w:rsidRPr="001A3546">
        <w:rPr>
          <w:i/>
          <w:sz w:val="22"/>
          <w:szCs w:val="20"/>
          <w:lang w:eastAsia="es-ES"/>
        </w:rPr>
        <w:t xml:space="preserve"> 74</w:t>
      </w:r>
      <w:r w:rsidRPr="001A3546">
        <w:rPr>
          <w:i/>
          <w:sz w:val="22"/>
          <w:szCs w:val="20"/>
          <w:lang w:eastAsia="es-ES"/>
        </w:rPr>
        <w:t xml:space="preserve">. Funciones especiales de las comisiones de regulación. Con sujeción a lo dispuesto en esta Ley y las demás disposiciones que la complementen, </w:t>
      </w:r>
      <w:proofErr w:type="gramStart"/>
      <w:r w:rsidRPr="001A3546">
        <w:rPr>
          <w:i/>
          <w:sz w:val="22"/>
          <w:szCs w:val="20"/>
          <w:lang w:eastAsia="es-ES"/>
        </w:rPr>
        <w:t>serán</w:t>
      </w:r>
      <w:proofErr w:type="gramEnd"/>
      <w:r w:rsidRPr="001A3546">
        <w:rPr>
          <w:i/>
          <w:sz w:val="22"/>
          <w:szCs w:val="20"/>
          <w:lang w:eastAsia="es-ES"/>
        </w:rPr>
        <w:t xml:space="preserve"> además, funciones y facultades especiales de cada una de las comisiones de regulación las siguientes:</w:t>
      </w:r>
    </w:p>
    <w:p w14:paraId="31AB5899" w14:textId="77777777" w:rsidR="00FB4B45" w:rsidRPr="001A3546" w:rsidRDefault="00FB4B45" w:rsidP="001B292C">
      <w:pPr>
        <w:ind w:left="284"/>
        <w:jc w:val="both"/>
        <w:rPr>
          <w:i/>
          <w:sz w:val="22"/>
          <w:szCs w:val="20"/>
          <w:lang w:eastAsia="es-ES"/>
        </w:rPr>
      </w:pPr>
    </w:p>
    <w:p w14:paraId="023188FB" w14:textId="4BDE7E98" w:rsidR="00BF4BAE" w:rsidRPr="001A3546" w:rsidRDefault="00BF4BAE" w:rsidP="001B292C">
      <w:pPr>
        <w:ind w:left="284"/>
        <w:jc w:val="both"/>
        <w:rPr>
          <w:i/>
          <w:sz w:val="22"/>
          <w:szCs w:val="20"/>
          <w:lang w:eastAsia="es-ES"/>
        </w:rPr>
      </w:pPr>
      <w:r w:rsidRPr="001A3546">
        <w:rPr>
          <w:i/>
          <w:sz w:val="22"/>
          <w:szCs w:val="20"/>
          <w:lang w:eastAsia="es-ES"/>
        </w:rPr>
        <w:t>74.1. De la Comisión de Regulación de Energía y Gas Combustible. (…)</w:t>
      </w:r>
    </w:p>
    <w:p w14:paraId="4160B9DC" w14:textId="77777777" w:rsidR="00BF4BAE" w:rsidRPr="001A3546" w:rsidRDefault="00BF4BAE" w:rsidP="001B292C">
      <w:pPr>
        <w:ind w:left="284"/>
        <w:jc w:val="both"/>
        <w:rPr>
          <w:sz w:val="22"/>
          <w:szCs w:val="20"/>
          <w:lang w:eastAsia="es-ES"/>
        </w:rPr>
      </w:pPr>
      <w:r w:rsidRPr="001A3546">
        <w:rPr>
          <w:i/>
          <w:sz w:val="22"/>
          <w:szCs w:val="20"/>
          <w:lang w:eastAsia="es-ES"/>
        </w:rPr>
        <w:t>d) </w:t>
      </w:r>
      <w:r w:rsidRPr="001A3546">
        <w:rPr>
          <w:b/>
          <w:i/>
          <w:sz w:val="22"/>
          <w:szCs w:val="20"/>
          <w:u w:val="single"/>
          <w:lang w:eastAsia="es-ES"/>
        </w:rPr>
        <w:t xml:space="preserve">Fijar las tarifas de venta </w:t>
      </w:r>
      <w:r w:rsidRPr="001A3546">
        <w:rPr>
          <w:i/>
          <w:sz w:val="22"/>
          <w:szCs w:val="20"/>
          <w:u w:val="single"/>
          <w:lang w:eastAsia="es-ES"/>
        </w:rPr>
        <w:t>de electricidad</w:t>
      </w:r>
      <w:r w:rsidRPr="001A3546">
        <w:rPr>
          <w:i/>
          <w:sz w:val="22"/>
          <w:szCs w:val="20"/>
          <w:lang w:eastAsia="es-ES"/>
        </w:rPr>
        <w:t xml:space="preserve"> y </w:t>
      </w:r>
      <w:r w:rsidRPr="001A3546">
        <w:rPr>
          <w:b/>
          <w:i/>
          <w:sz w:val="22"/>
          <w:szCs w:val="20"/>
          <w:lang w:eastAsia="es-ES"/>
        </w:rPr>
        <w:t>gas combustible</w:t>
      </w:r>
      <w:r w:rsidRPr="001A3546">
        <w:rPr>
          <w:i/>
          <w:sz w:val="22"/>
          <w:szCs w:val="20"/>
          <w:lang w:eastAsia="es-ES"/>
        </w:rPr>
        <w:t>; o delegar en las empresas distribuidoras, cuando sea conveniente dentro de los propósitos de esta Ley, bajo el régimen que ella disponga, la facultad de fijar estas tarifas.</w:t>
      </w:r>
    </w:p>
    <w:p w14:paraId="45E7F09E" w14:textId="77777777" w:rsidR="00FB4B45" w:rsidRPr="001A3546" w:rsidRDefault="00FB4B45" w:rsidP="00CE43DC">
      <w:pPr>
        <w:jc w:val="both"/>
        <w:rPr>
          <w:sz w:val="22"/>
          <w:szCs w:val="20"/>
          <w:lang w:eastAsia="es-ES"/>
        </w:rPr>
      </w:pPr>
    </w:p>
    <w:p w14:paraId="711F4AE4" w14:textId="6985D1A6" w:rsidR="00BF4BAE" w:rsidRDefault="00BF4BAE" w:rsidP="00DB5701">
      <w:pPr>
        <w:jc w:val="both"/>
        <w:rPr>
          <w:lang w:eastAsia="es-ES"/>
        </w:rPr>
      </w:pPr>
      <w:r w:rsidRPr="00BF4BAE">
        <w:rPr>
          <w:lang w:eastAsia="es-ES"/>
        </w:rPr>
        <w:t>En desarrollo de sus funciones, esta Comisión debe observar lo definido en esa misma Ley, en cuanto a los criterios que orientan el régimen tarifario</w:t>
      </w:r>
      <w:r w:rsidR="00A9517C">
        <w:rPr>
          <w:lang w:eastAsia="es-ES"/>
        </w:rPr>
        <w:t xml:space="preserve"> conforme al artículo 87</w:t>
      </w:r>
      <w:r w:rsidR="00DB5701">
        <w:rPr>
          <w:lang w:eastAsia="es-ES"/>
        </w:rPr>
        <w:t>.</w:t>
      </w:r>
    </w:p>
    <w:p w14:paraId="483D1766" w14:textId="77777777" w:rsidR="00DB5701" w:rsidRPr="00BF4BAE" w:rsidRDefault="00DB5701" w:rsidP="001A3546">
      <w:pPr>
        <w:jc w:val="both"/>
        <w:rPr>
          <w:lang w:eastAsia="es-ES"/>
        </w:rPr>
      </w:pPr>
    </w:p>
    <w:p w14:paraId="711F49F6" w14:textId="03BAA223" w:rsidR="001515D0" w:rsidRDefault="00BF4BAE" w:rsidP="00CE43DC">
      <w:pPr>
        <w:jc w:val="both"/>
        <w:rPr>
          <w:lang w:eastAsia="es-ES"/>
        </w:rPr>
      </w:pPr>
      <w:r w:rsidRPr="00BF4BAE">
        <w:rPr>
          <w:lang w:eastAsia="es-ES"/>
        </w:rPr>
        <w:t>De lo anterior, debe señalarse que el objeto de esta Comisión</w:t>
      </w:r>
      <w:r w:rsidR="001B292C">
        <w:rPr>
          <w:lang w:eastAsia="es-ES"/>
        </w:rPr>
        <w:t>,</w:t>
      </w:r>
      <w:r w:rsidRPr="00BF4BAE">
        <w:rPr>
          <w:lang w:eastAsia="es-ES"/>
        </w:rPr>
        <w:t xml:space="preserve"> al resolver la solicitud presentada por </w:t>
      </w:r>
      <w:r w:rsidR="00907107">
        <w:rPr>
          <w:lang w:eastAsia="es-ES"/>
        </w:rPr>
        <w:t>TGI</w:t>
      </w:r>
      <w:r w:rsidRPr="00BF4BAE">
        <w:rPr>
          <w:lang w:eastAsia="es-ES"/>
        </w:rPr>
        <w:t xml:space="preserve">, </w:t>
      </w:r>
      <w:r w:rsidR="00A73F22">
        <w:rPr>
          <w:lang w:eastAsia="es-ES"/>
        </w:rPr>
        <w:t>es la de dar aplicación</w:t>
      </w:r>
      <w:r w:rsidR="00895434">
        <w:rPr>
          <w:lang w:eastAsia="es-ES"/>
        </w:rPr>
        <w:t xml:space="preserve"> a los procedimientos descritos en la Resolución CREG 175 de 2021,</w:t>
      </w:r>
      <w:r w:rsidR="004F0A4C">
        <w:rPr>
          <w:lang w:eastAsia="es-ES"/>
        </w:rPr>
        <w:t xml:space="preserve"> </w:t>
      </w:r>
      <w:r w:rsidR="00DC6A75">
        <w:rPr>
          <w:lang w:eastAsia="es-ES"/>
        </w:rPr>
        <w:t xml:space="preserve">ajustando los cargos pendientes de decisión y que se encontraban en </w:t>
      </w:r>
      <w:r w:rsidR="00547157">
        <w:rPr>
          <w:lang w:eastAsia="es-ES"/>
        </w:rPr>
        <w:t>trámite</w:t>
      </w:r>
      <w:r w:rsidR="00DC6A75">
        <w:rPr>
          <w:lang w:eastAsia="es-ES"/>
        </w:rPr>
        <w:t xml:space="preserve"> al momento de su </w:t>
      </w:r>
      <w:proofErr w:type="gramStart"/>
      <w:r w:rsidR="00DC6A75">
        <w:rPr>
          <w:lang w:eastAsia="es-ES"/>
        </w:rPr>
        <w:t>entrada en vigencia</w:t>
      </w:r>
      <w:proofErr w:type="gramEnd"/>
      <w:r w:rsidR="00547157">
        <w:rPr>
          <w:lang w:eastAsia="es-ES"/>
        </w:rPr>
        <w:t xml:space="preserve">, conforme a las reglas previstas en </w:t>
      </w:r>
      <w:r w:rsidR="001515D0">
        <w:rPr>
          <w:lang w:eastAsia="es-ES"/>
        </w:rPr>
        <w:t xml:space="preserve">la metodología por las cuales se </w:t>
      </w:r>
      <w:r w:rsidR="008D6621">
        <w:rPr>
          <w:lang w:eastAsia="es-ES"/>
        </w:rPr>
        <w:t>s</w:t>
      </w:r>
      <w:r w:rsidR="00F47CA7">
        <w:rPr>
          <w:lang w:eastAsia="es-ES"/>
        </w:rPr>
        <w:t>olicitaron las valoraciones de los activos</w:t>
      </w:r>
      <w:r w:rsidR="001515D0">
        <w:rPr>
          <w:lang w:eastAsia="es-ES"/>
        </w:rPr>
        <w:t xml:space="preserve">, es decir, la Resolución CREG 126 de 2010. </w:t>
      </w:r>
    </w:p>
    <w:p w14:paraId="2757AA20" w14:textId="2C141F90" w:rsidR="00A24C8C" w:rsidRPr="00A24C8C" w:rsidRDefault="00A24C8C" w:rsidP="000E1983">
      <w:pPr>
        <w:pStyle w:val="Tit1"/>
        <w:numPr>
          <w:ilvl w:val="4"/>
          <w:numId w:val="7"/>
        </w:numPr>
        <w:ind w:left="426" w:firstLine="0"/>
        <w:rPr>
          <w:b w:val="0"/>
          <w:bCs/>
        </w:rPr>
      </w:pPr>
      <w:r w:rsidRPr="00A24C8C">
        <w:rPr>
          <w:b w:val="0"/>
          <w:bCs/>
        </w:rPr>
        <w:t>Aplicación de normas vigentes, obligatorios y que gozan del principio de legalidad</w:t>
      </w:r>
    </w:p>
    <w:p w14:paraId="6BA4437B" w14:textId="77777777" w:rsidR="006845EA" w:rsidRDefault="006845EA" w:rsidP="00CE43DC">
      <w:pPr>
        <w:jc w:val="both"/>
        <w:rPr>
          <w:lang w:eastAsia="es-ES"/>
        </w:rPr>
      </w:pPr>
    </w:p>
    <w:p w14:paraId="6ADEB890" w14:textId="582EF9E1" w:rsidR="003276AD" w:rsidRDefault="00BF4BAE" w:rsidP="001A3546">
      <w:pPr>
        <w:jc w:val="both"/>
        <w:rPr>
          <w:rFonts w:eastAsia="Times New Roman" w:cs="Arial"/>
          <w:color w:val="000000" w:themeColor="text1"/>
          <w:spacing w:val="-3"/>
          <w:szCs w:val="24"/>
          <w:lang w:val="es-ES" w:eastAsia="es-ES"/>
        </w:rPr>
      </w:pPr>
      <w:r w:rsidRPr="00BF4BAE">
        <w:rPr>
          <w:lang w:eastAsia="es-ES"/>
        </w:rPr>
        <w:t>En ese orden de ideas,</w:t>
      </w:r>
      <w:r w:rsidR="00F47CA7">
        <w:rPr>
          <w:lang w:eastAsia="es-ES"/>
        </w:rPr>
        <w:t xml:space="preserve"> l</w:t>
      </w:r>
      <w:r w:rsidR="003276AD">
        <w:rPr>
          <w:rFonts w:eastAsia="Times New Roman" w:cs="Arial"/>
          <w:color w:val="000000" w:themeColor="text1"/>
          <w:spacing w:val="-3"/>
          <w:szCs w:val="24"/>
          <w:lang w:val="es-ES" w:eastAsia="es-ES"/>
        </w:rPr>
        <w:t>a</w:t>
      </w:r>
      <w:r w:rsidR="003276AD" w:rsidRPr="005738F9">
        <w:rPr>
          <w:rFonts w:eastAsia="Times New Roman" w:cs="Arial"/>
          <w:color w:val="000000" w:themeColor="text1"/>
          <w:spacing w:val="-3"/>
          <w:szCs w:val="24"/>
          <w:lang w:val="es-ES" w:eastAsia="es-ES"/>
        </w:rPr>
        <w:t xml:space="preserve"> Resolución CREG 175 de 2021</w:t>
      </w:r>
      <w:r w:rsidR="00C500AE">
        <w:rPr>
          <w:rFonts w:eastAsia="Times New Roman" w:cs="Arial"/>
          <w:color w:val="000000" w:themeColor="text1"/>
          <w:spacing w:val="-3"/>
          <w:szCs w:val="24"/>
          <w:lang w:val="es-ES" w:eastAsia="es-ES"/>
        </w:rPr>
        <w:t xml:space="preserve"> establece e</w:t>
      </w:r>
      <w:r w:rsidR="003B4FB3">
        <w:rPr>
          <w:rFonts w:eastAsia="Times New Roman" w:cs="Arial"/>
          <w:color w:val="000000" w:themeColor="text1"/>
          <w:spacing w:val="-3"/>
          <w:szCs w:val="24"/>
          <w:lang w:val="es-ES" w:eastAsia="es-ES"/>
        </w:rPr>
        <w:t>n su artículo 7 una transi</w:t>
      </w:r>
      <w:r w:rsidR="00656341">
        <w:rPr>
          <w:rFonts w:eastAsia="Times New Roman" w:cs="Arial"/>
          <w:color w:val="000000" w:themeColor="text1"/>
          <w:spacing w:val="-3"/>
          <w:szCs w:val="24"/>
          <w:lang w:val="es-ES" w:eastAsia="es-ES"/>
        </w:rPr>
        <w:t xml:space="preserve">ción </w:t>
      </w:r>
      <w:r w:rsidR="00DC565A">
        <w:rPr>
          <w:rFonts w:eastAsia="Times New Roman" w:cs="Arial"/>
          <w:color w:val="000000" w:themeColor="text1"/>
          <w:spacing w:val="-3"/>
          <w:szCs w:val="24"/>
          <w:lang w:val="es-ES" w:eastAsia="es-ES"/>
        </w:rPr>
        <w:t>para</w:t>
      </w:r>
      <w:r w:rsidR="00E32DFB">
        <w:rPr>
          <w:rFonts w:eastAsia="Times New Roman" w:cs="Arial"/>
          <w:color w:val="000000" w:themeColor="text1"/>
          <w:spacing w:val="-3"/>
          <w:szCs w:val="24"/>
          <w:lang w:val="es-ES" w:eastAsia="es-ES"/>
        </w:rPr>
        <w:t xml:space="preserve"> aprobar cargos de transporte </w:t>
      </w:r>
      <w:r w:rsidR="0050021B">
        <w:rPr>
          <w:rFonts w:eastAsia="Times New Roman" w:cs="Arial"/>
          <w:color w:val="000000" w:themeColor="text1"/>
          <w:spacing w:val="-3"/>
          <w:szCs w:val="24"/>
          <w:lang w:val="es-ES" w:eastAsia="es-ES"/>
        </w:rPr>
        <w:t>de los tramo</w:t>
      </w:r>
      <w:r w:rsidR="00660B33">
        <w:rPr>
          <w:rFonts w:eastAsia="Times New Roman" w:cs="Arial"/>
          <w:color w:val="000000" w:themeColor="text1"/>
          <w:spacing w:val="-3"/>
          <w:szCs w:val="24"/>
          <w:lang w:val="es-ES" w:eastAsia="es-ES"/>
        </w:rPr>
        <w:t>s</w:t>
      </w:r>
      <w:r w:rsidR="00D60462">
        <w:rPr>
          <w:rFonts w:eastAsia="Times New Roman" w:cs="Arial"/>
          <w:color w:val="000000" w:themeColor="text1"/>
          <w:spacing w:val="-3"/>
          <w:szCs w:val="24"/>
          <w:lang w:val="es-ES" w:eastAsia="es-ES"/>
        </w:rPr>
        <w:t xml:space="preserve"> que </w:t>
      </w:r>
      <w:r w:rsidR="009028EA">
        <w:rPr>
          <w:rFonts w:eastAsia="Times New Roman" w:cs="Arial"/>
          <w:color w:val="000000" w:themeColor="text1"/>
          <w:spacing w:val="-3"/>
          <w:szCs w:val="24"/>
          <w:lang w:val="es-ES" w:eastAsia="es-ES"/>
        </w:rPr>
        <w:t>cumplieron VUN a 31 de diciembre de 2020</w:t>
      </w:r>
      <w:r w:rsidR="00C34184">
        <w:rPr>
          <w:rFonts w:eastAsia="Times New Roman" w:cs="Arial"/>
          <w:color w:val="000000" w:themeColor="text1"/>
          <w:spacing w:val="-3"/>
          <w:szCs w:val="24"/>
          <w:lang w:val="es-ES" w:eastAsia="es-ES"/>
        </w:rPr>
        <w:t xml:space="preserve"> </w:t>
      </w:r>
      <w:r w:rsidR="00D60462">
        <w:rPr>
          <w:rFonts w:eastAsia="Times New Roman" w:cs="Arial"/>
          <w:color w:val="000000" w:themeColor="text1"/>
          <w:spacing w:val="-3"/>
          <w:szCs w:val="24"/>
          <w:lang w:val="es-ES" w:eastAsia="es-ES"/>
        </w:rPr>
        <w:t>conforme a la</w:t>
      </w:r>
      <w:r w:rsidR="00353CD7">
        <w:rPr>
          <w:rFonts w:eastAsia="Times New Roman" w:cs="Arial"/>
          <w:color w:val="000000" w:themeColor="text1"/>
          <w:spacing w:val="-3"/>
          <w:szCs w:val="24"/>
          <w:lang w:val="es-ES" w:eastAsia="es-ES"/>
        </w:rPr>
        <w:t xml:space="preserve"> metodología descrita en la </w:t>
      </w:r>
      <w:r w:rsidR="003276AD" w:rsidRPr="005738F9">
        <w:rPr>
          <w:rFonts w:eastAsia="Times New Roman" w:cs="Arial"/>
          <w:color w:val="000000" w:themeColor="text1"/>
          <w:spacing w:val="-3"/>
          <w:szCs w:val="24"/>
          <w:lang w:val="es-ES" w:eastAsia="es-ES"/>
        </w:rPr>
        <w:t>Resolución CREG 126 de 2010</w:t>
      </w:r>
      <w:r w:rsidR="007A451A">
        <w:rPr>
          <w:rFonts w:eastAsia="Times New Roman" w:cs="Arial"/>
          <w:color w:val="000000" w:themeColor="text1"/>
          <w:spacing w:val="-3"/>
          <w:szCs w:val="24"/>
          <w:lang w:val="es-ES" w:eastAsia="es-ES"/>
        </w:rPr>
        <w:t>.</w:t>
      </w:r>
    </w:p>
    <w:p w14:paraId="460D371F" w14:textId="77777777" w:rsidR="00530ACB" w:rsidRDefault="00530ACB" w:rsidP="007A451A">
      <w:pPr>
        <w:spacing w:after="0"/>
        <w:jc w:val="both"/>
        <w:rPr>
          <w:rFonts w:eastAsia="Times New Roman" w:cs="Arial"/>
          <w:color w:val="000000" w:themeColor="text1"/>
          <w:spacing w:val="-3"/>
          <w:szCs w:val="24"/>
          <w:lang w:val="es-ES" w:eastAsia="es-ES"/>
        </w:rPr>
      </w:pPr>
    </w:p>
    <w:p w14:paraId="520AC298" w14:textId="3EF1ABD8" w:rsidR="00530ACB" w:rsidRDefault="001E6C60" w:rsidP="007A451A">
      <w:pPr>
        <w:spacing w:after="0"/>
        <w:jc w:val="both"/>
        <w:rPr>
          <w:lang w:val="es-ES" w:eastAsia="es-ES"/>
        </w:rPr>
      </w:pPr>
      <w:r>
        <w:rPr>
          <w:lang w:val="es-ES" w:eastAsia="es-ES"/>
        </w:rPr>
        <w:t xml:space="preserve">La </w:t>
      </w:r>
      <w:r w:rsidR="008A253B">
        <w:rPr>
          <w:lang w:val="es-ES" w:eastAsia="es-ES"/>
        </w:rPr>
        <w:t xml:space="preserve">transición </w:t>
      </w:r>
      <w:r>
        <w:rPr>
          <w:lang w:val="es-ES" w:eastAsia="es-ES"/>
        </w:rPr>
        <w:t xml:space="preserve">establecida </w:t>
      </w:r>
      <w:r w:rsidR="008A253B">
        <w:rPr>
          <w:lang w:val="es-ES" w:eastAsia="es-ES"/>
        </w:rPr>
        <w:t xml:space="preserve">en la Resolución CREG 175 de 2021 tiene como objetivo el de dar trámite y finalizar las actuaciones </w:t>
      </w:r>
      <w:r>
        <w:rPr>
          <w:lang w:val="es-ES" w:eastAsia="es-ES"/>
        </w:rPr>
        <w:t>en curso aplicando el mismo procedimiento de valoración de la inversión que le aplicó a los demás activos que cumplieron vida útil normativa hasta el 31 de diciembre de 2020</w:t>
      </w:r>
      <w:r w:rsidR="0004240A">
        <w:rPr>
          <w:lang w:val="es-ES" w:eastAsia="es-ES"/>
        </w:rPr>
        <w:t>.</w:t>
      </w:r>
    </w:p>
    <w:p w14:paraId="40E951A6" w14:textId="77777777" w:rsidR="0004240A" w:rsidRDefault="0004240A" w:rsidP="007A451A">
      <w:pPr>
        <w:spacing w:after="0"/>
        <w:jc w:val="both"/>
        <w:rPr>
          <w:lang w:val="es-ES" w:eastAsia="es-ES"/>
        </w:rPr>
      </w:pPr>
    </w:p>
    <w:p w14:paraId="65809ABE" w14:textId="29EAC6F3" w:rsidR="00AF2915" w:rsidRDefault="0004240A" w:rsidP="007A451A">
      <w:pPr>
        <w:spacing w:after="0"/>
        <w:jc w:val="both"/>
        <w:rPr>
          <w:lang w:val="es-ES" w:eastAsia="es-ES"/>
        </w:rPr>
      </w:pPr>
      <w:r>
        <w:rPr>
          <w:lang w:val="es-ES" w:eastAsia="es-ES"/>
        </w:rPr>
        <w:t>La Resolución 502 024 de 2022</w:t>
      </w:r>
      <w:r w:rsidR="005726AB">
        <w:rPr>
          <w:lang w:val="es-ES" w:eastAsia="es-ES"/>
        </w:rPr>
        <w:t xml:space="preserve"> tiene como sustento la aplicación de los procedimientos descritos en l</w:t>
      </w:r>
      <w:r w:rsidR="00DD26A6">
        <w:rPr>
          <w:lang w:val="es-ES" w:eastAsia="es-ES"/>
        </w:rPr>
        <w:t xml:space="preserve">a Resolución CREG 175 de 2021, la cual remite </w:t>
      </w:r>
      <w:r w:rsidR="00A32AF5">
        <w:rPr>
          <w:lang w:val="es-ES" w:eastAsia="es-ES"/>
        </w:rPr>
        <w:t>a</w:t>
      </w:r>
      <w:r w:rsidR="006525C0">
        <w:rPr>
          <w:lang w:val="es-ES" w:eastAsia="es-ES"/>
        </w:rPr>
        <w:t xml:space="preserve"> la aplicación de </w:t>
      </w:r>
      <w:r w:rsidR="00A32AF5">
        <w:rPr>
          <w:lang w:val="es-ES" w:eastAsia="es-ES"/>
        </w:rPr>
        <w:t>l</w:t>
      </w:r>
      <w:r w:rsidR="006525C0">
        <w:rPr>
          <w:lang w:val="es-ES" w:eastAsia="es-ES"/>
        </w:rPr>
        <w:t>as reglas descritas en la Resolución CREG 126 de 2010</w:t>
      </w:r>
      <w:r w:rsidR="001B4520">
        <w:rPr>
          <w:lang w:val="es-ES" w:eastAsia="es-ES"/>
        </w:rPr>
        <w:t>,</w:t>
      </w:r>
      <w:r w:rsidR="003232DF">
        <w:rPr>
          <w:lang w:val="es-ES" w:eastAsia="es-ES"/>
        </w:rPr>
        <w:t xml:space="preserve"> como parte de una transición</w:t>
      </w:r>
      <w:r w:rsidR="00FE70B3">
        <w:rPr>
          <w:lang w:val="es-ES" w:eastAsia="es-ES"/>
        </w:rPr>
        <w:t>,</w:t>
      </w:r>
      <w:r w:rsidR="001B4520">
        <w:rPr>
          <w:lang w:val="es-ES" w:eastAsia="es-ES"/>
        </w:rPr>
        <w:t xml:space="preserve"> para dar cumplimiento a</w:t>
      </w:r>
      <w:r w:rsidR="00BF1AD2">
        <w:rPr>
          <w:lang w:val="es-ES" w:eastAsia="es-ES"/>
        </w:rPr>
        <w:t xml:space="preserve"> la primera actualización de cargos </w:t>
      </w:r>
      <w:r w:rsidR="00094E3D">
        <w:rPr>
          <w:lang w:val="es-ES" w:eastAsia="es-ES"/>
        </w:rPr>
        <w:t xml:space="preserve">de transporte </w:t>
      </w:r>
      <w:r w:rsidR="00A85447">
        <w:rPr>
          <w:lang w:val="es-ES" w:eastAsia="es-ES"/>
        </w:rPr>
        <w:t>de los sistemas de transporte que se contempla en la nueva metodología</w:t>
      </w:r>
      <w:r w:rsidR="00BD3A09">
        <w:rPr>
          <w:lang w:val="es-ES" w:eastAsia="es-ES"/>
        </w:rPr>
        <w:t xml:space="preserve">, y que tiene como finalidad la aplicación de las diferentes variables </w:t>
      </w:r>
      <w:r w:rsidR="00BD3A09">
        <w:rPr>
          <w:lang w:val="es-ES" w:eastAsia="es-ES"/>
        </w:rPr>
        <w:lastRenderedPageBreak/>
        <w:t>que conforman el componente de capital</w:t>
      </w:r>
      <w:r w:rsidR="0075380C">
        <w:rPr>
          <w:lang w:val="es-ES" w:eastAsia="es-ES"/>
        </w:rPr>
        <w:t xml:space="preserve"> a considerar en la tarifa a trasladar a los usuarios </w:t>
      </w:r>
      <w:r w:rsidR="00AF2915">
        <w:rPr>
          <w:lang w:val="es-ES" w:eastAsia="es-ES"/>
        </w:rPr>
        <w:t>finales.</w:t>
      </w:r>
    </w:p>
    <w:p w14:paraId="06A142A8" w14:textId="77777777" w:rsidR="00AF2915" w:rsidRDefault="00AF2915" w:rsidP="007A451A">
      <w:pPr>
        <w:spacing w:after="0"/>
        <w:jc w:val="both"/>
        <w:rPr>
          <w:lang w:val="es-ES" w:eastAsia="es-ES"/>
        </w:rPr>
      </w:pPr>
    </w:p>
    <w:p w14:paraId="3EF2C7AB" w14:textId="77777777" w:rsidR="002E1238" w:rsidRDefault="00AF2915" w:rsidP="007A451A">
      <w:pPr>
        <w:spacing w:after="0"/>
        <w:jc w:val="both"/>
        <w:rPr>
          <w:lang w:val="es-ES" w:eastAsia="es-ES"/>
        </w:rPr>
      </w:pPr>
      <w:r>
        <w:rPr>
          <w:lang w:val="es-ES" w:eastAsia="es-ES"/>
        </w:rPr>
        <w:t>En este sentido, los procedimientos aplicados por la resolución que se recurre</w:t>
      </w:r>
      <w:r w:rsidR="0038776F">
        <w:rPr>
          <w:lang w:val="es-ES" w:eastAsia="es-ES"/>
        </w:rPr>
        <w:t xml:space="preserve"> por parte de la empresa </w:t>
      </w:r>
      <w:proofErr w:type="spellStart"/>
      <w:r w:rsidR="0038776F">
        <w:rPr>
          <w:lang w:val="es-ES" w:eastAsia="es-ES"/>
        </w:rPr>
        <w:t>Vanti</w:t>
      </w:r>
      <w:proofErr w:type="spellEnd"/>
      <w:r w:rsidR="0038776F">
        <w:rPr>
          <w:lang w:val="es-ES" w:eastAsia="es-ES"/>
        </w:rPr>
        <w:t xml:space="preserve">, son procedimientos vigentes, de obligatorio cumplimiento, </w:t>
      </w:r>
      <w:r w:rsidR="00130320">
        <w:rPr>
          <w:lang w:val="es-ES" w:eastAsia="es-ES"/>
        </w:rPr>
        <w:t xml:space="preserve">basados en una norma que goza del principio de legalidad </w:t>
      </w:r>
      <w:r w:rsidR="00F6308E">
        <w:rPr>
          <w:lang w:val="es-ES" w:eastAsia="es-ES"/>
        </w:rPr>
        <w:t xml:space="preserve">y fuerza vinculante hasta tanto no sean objeto de </w:t>
      </w:r>
      <w:r w:rsidR="004A60A7">
        <w:rPr>
          <w:lang w:val="es-ES" w:eastAsia="es-ES"/>
        </w:rPr>
        <w:t>modificación o recaiga sobre ella</w:t>
      </w:r>
      <w:r w:rsidR="005E3254">
        <w:rPr>
          <w:lang w:val="es-ES" w:eastAsia="es-ES"/>
        </w:rPr>
        <w:t xml:space="preserve"> decisión judicial</w:t>
      </w:r>
      <w:r w:rsidR="002E1238">
        <w:rPr>
          <w:lang w:val="es-ES" w:eastAsia="es-ES"/>
        </w:rPr>
        <w:t xml:space="preserve"> que declare su nulidad o decaimiento.</w:t>
      </w:r>
    </w:p>
    <w:p w14:paraId="521512BE" w14:textId="77777777" w:rsidR="002E1238" w:rsidRDefault="002E1238" w:rsidP="007A451A">
      <w:pPr>
        <w:spacing w:after="0"/>
        <w:jc w:val="both"/>
        <w:rPr>
          <w:lang w:val="es-ES" w:eastAsia="es-ES"/>
        </w:rPr>
      </w:pPr>
    </w:p>
    <w:p w14:paraId="5A9BB86A" w14:textId="77777777" w:rsidR="004406B0" w:rsidRDefault="006779D1" w:rsidP="007A451A">
      <w:pPr>
        <w:spacing w:after="0"/>
        <w:jc w:val="both"/>
      </w:pPr>
      <w:r>
        <w:t xml:space="preserve">En relación con esto, es importante traer como referencia el concepto de vigencia desarrollado por la Corte Constitucional en sentencia C-873 de 2003, en la cual se señala lo siguiente: </w:t>
      </w:r>
    </w:p>
    <w:p w14:paraId="06A16709" w14:textId="77777777" w:rsidR="004406B0" w:rsidRDefault="004406B0" w:rsidP="007A451A">
      <w:pPr>
        <w:spacing w:after="0"/>
        <w:jc w:val="both"/>
      </w:pPr>
    </w:p>
    <w:p w14:paraId="51203DE7" w14:textId="79C7F225" w:rsidR="00D80875" w:rsidRPr="004406B0" w:rsidRDefault="006779D1" w:rsidP="004406B0">
      <w:pPr>
        <w:spacing w:after="0"/>
        <w:ind w:left="708"/>
        <w:jc w:val="both"/>
        <w:rPr>
          <w:i/>
          <w:iCs/>
        </w:rPr>
      </w:pPr>
      <w:r w:rsidRPr="004406B0">
        <w:rPr>
          <w:i/>
          <w:iCs/>
          <w:sz w:val="22"/>
          <w:szCs w:val="20"/>
        </w:rPr>
        <w:t xml:space="preserve">“La “vigencia” se halla íntimamente ligada a la noción de “eficacia jurídica”, en tanto se refiere, desde una perspectiva temporal o cronológica, a la generación de efectos jurídicos obligatorios por parte de la norma de la cual se predica; es decir, a su entrada en vigor. Así, se hace referencia al período de vigencia de una norma determinada para referirse al </w:t>
      </w:r>
      <w:proofErr w:type="gramStart"/>
      <w:r w:rsidRPr="004406B0">
        <w:rPr>
          <w:i/>
          <w:iCs/>
          <w:sz w:val="22"/>
          <w:szCs w:val="20"/>
        </w:rPr>
        <w:t>lapso de tiempo</w:t>
      </w:r>
      <w:proofErr w:type="gramEnd"/>
      <w:r w:rsidRPr="004406B0">
        <w:rPr>
          <w:i/>
          <w:iCs/>
          <w:sz w:val="22"/>
          <w:szCs w:val="20"/>
        </w:rPr>
        <w:t xml:space="preserve"> durante el cual ésta habrá de surtir efectos jurídicos. La regla general en nuestro ordenamiento es que las normas comienzan a surtir efectos jurídicos con posterioridad a su promulgación, según lo determinen ellas mismas, o de conformidad con las normas generales sobre el particular”.</w:t>
      </w:r>
    </w:p>
    <w:p w14:paraId="3C946B71" w14:textId="77777777" w:rsidR="00D80875" w:rsidRDefault="00D80875" w:rsidP="007A451A">
      <w:pPr>
        <w:spacing w:after="0"/>
        <w:jc w:val="both"/>
      </w:pPr>
    </w:p>
    <w:p w14:paraId="67F6C8CD" w14:textId="2EDF0E87" w:rsidR="006779D1" w:rsidRDefault="006779D1" w:rsidP="007A451A">
      <w:pPr>
        <w:spacing w:after="0"/>
        <w:jc w:val="both"/>
        <w:rPr>
          <w:lang w:val="es-ES" w:eastAsia="es-ES"/>
        </w:rPr>
      </w:pPr>
      <w:r>
        <w:t>De acuerdo con lo anterior, se identifica que la vigencia de una metodología o fórmula tarifaria corresponde al período que se inicia desde cuando la regulación empieza a producir sus efectos jurídicos</w:t>
      </w:r>
      <w:r w:rsidR="001B292C">
        <w:t>,</w:t>
      </w:r>
      <w:r>
        <w:t xml:space="preserve"> hasta cuando cesan por la expedición de una nueva metodología o fórmula.</w:t>
      </w:r>
    </w:p>
    <w:p w14:paraId="233E6258" w14:textId="77777777" w:rsidR="006779D1" w:rsidRDefault="006779D1" w:rsidP="007A451A">
      <w:pPr>
        <w:spacing w:after="0"/>
        <w:jc w:val="both"/>
        <w:rPr>
          <w:lang w:val="es-ES" w:eastAsia="es-ES"/>
        </w:rPr>
      </w:pPr>
    </w:p>
    <w:p w14:paraId="4A7A5CF7" w14:textId="77777777" w:rsidR="004058BF" w:rsidRDefault="004058BF" w:rsidP="00F27927">
      <w:pPr>
        <w:spacing w:after="0"/>
        <w:jc w:val="both"/>
        <w:rPr>
          <w:lang w:eastAsia="es-ES"/>
        </w:rPr>
      </w:pPr>
    </w:p>
    <w:p w14:paraId="3A04BB7A" w14:textId="5F6F2F14" w:rsidR="00F076CB" w:rsidRPr="00F27927" w:rsidRDefault="003A51A3" w:rsidP="000E1983">
      <w:pPr>
        <w:pStyle w:val="Tit1"/>
        <w:numPr>
          <w:ilvl w:val="4"/>
          <w:numId w:val="7"/>
        </w:numPr>
        <w:ind w:left="426" w:firstLine="0"/>
        <w:rPr>
          <w:b w:val="0"/>
          <w:bCs/>
        </w:rPr>
      </w:pPr>
      <w:r w:rsidRPr="00DE3B2A">
        <w:rPr>
          <w:b w:val="0"/>
          <w:bCs/>
        </w:rPr>
        <w:t>Aplicación del p</w:t>
      </w:r>
      <w:r w:rsidR="00AB1D18" w:rsidRPr="00DE3B2A">
        <w:rPr>
          <w:b w:val="0"/>
          <w:bCs/>
        </w:rPr>
        <w:t xml:space="preserve">rincipio de igualdad </w:t>
      </w:r>
    </w:p>
    <w:p w14:paraId="4612DF20" w14:textId="77777777" w:rsidR="00AB1D18" w:rsidRDefault="00AB1D18" w:rsidP="00F27927">
      <w:pPr>
        <w:spacing w:after="0"/>
        <w:jc w:val="both"/>
        <w:rPr>
          <w:lang w:eastAsia="es-ES"/>
        </w:rPr>
      </w:pPr>
    </w:p>
    <w:p w14:paraId="21B89C26" w14:textId="61D511A5" w:rsidR="00F27927" w:rsidRDefault="009E4134" w:rsidP="00F27927">
      <w:pPr>
        <w:spacing w:after="0"/>
        <w:jc w:val="both"/>
        <w:rPr>
          <w:lang w:eastAsia="es-ES"/>
        </w:rPr>
      </w:pPr>
      <w:r>
        <w:rPr>
          <w:lang w:eastAsia="es-ES"/>
        </w:rPr>
        <w:t>Respecto al principio de igualdad, este est</w:t>
      </w:r>
      <w:r w:rsidR="00AD10C4">
        <w:rPr>
          <w:lang w:eastAsia="es-ES"/>
        </w:rPr>
        <w:t>á</w:t>
      </w:r>
      <w:r>
        <w:rPr>
          <w:lang w:eastAsia="es-ES"/>
        </w:rPr>
        <w:t xml:space="preserve"> establecido</w:t>
      </w:r>
      <w:r w:rsidR="00AD10C4">
        <w:rPr>
          <w:lang w:eastAsia="es-ES"/>
        </w:rPr>
        <w:t xml:space="preserve"> como uno de</w:t>
      </w:r>
      <w:r>
        <w:rPr>
          <w:lang w:eastAsia="es-ES"/>
        </w:rPr>
        <w:t xml:space="preserve"> l</w:t>
      </w:r>
      <w:r w:rsidR="00F27927" w:rsidRPr="00F27927">
        <w:rPr>
          <w:lang w:eastAsia="es-ES"/>
        </w:rPr>
        <w:t>os principios de la Función Administrativa por el artículo</w:t>
      </w:r>
      <w:r>
        <w:rPr>
          <w:lang w:eastAsia="es-ES"/>
        </w:rPr>
        <w:t xml:space="preserve"> 209</w:t>
      </w:r>
      <w:r w:rsidR="00F27927" w:rsidRPr="00F27927">
        <w:rPr>
          <w:lang w:eastAsia="es-ES"/>
        </w:rPr>
        <w:t xml:space="preserve"> de la Constitución Política, </w:t>
      </w:r>
      <w:r w:rsidR="00AD10C4">
        <w:rPr>
          <w:lang w:eastAsia="es-ES"/>
        </w:rPr>
        <w:t>en el cual señala</w:t>
      </w:r>
      <w:r w:rsidR="00AE2EEB">
        <w:rPr>
          <w:lang w:eastAsia="es-ES"/>
        </w:rPr>
        <w:t xml:space="preserve"> que</w:t>
      </w:r>
      <w:r w:rsidR="00F27927" w:rsidRPr="00F27927">
        <w:rPr>
          <w:lang w:eastAsia="es-ES"/>
        </w:rPr>
        <w:t>:</w:t>
      </w:r>
    </w:p>
    <w:p w14:paraId="37FEA8C3" w14:textId="77777777" w:rsidR="009E4134" w:rsidRPr="001A3546" w:rsidRDefault="009E4134" w:rsidP="001A3546">
      <w:pPr>
        <w:spacing w:after="0"/>
        <w:ind w:left="708"/>
        <w:jc w:val="both"/>
        <w:rPr>
          <w:i/>
          <w:sz w:val="22"/>
          <w:szCs w:val="20"/>
          <w:lang w:eastAsia="es-ES"/>
        </w:rPr>
      </w:pPr>
    </w:p>
    <w:p w14:paraId="424B12EE" w14:textId="77777777" w:rsidR="00F27927" w:rsidRPr="00F27927" w:rsidRDefault="00F27927" w:rsidP="001A3546">
      <w:pPr>
        <w:spacing w:after="0"/>
        <w:ind w:left="708"/>
        <w:jc w:val="both"/>
        <w:rPr>
          <w:lang w:eastAsia="es-ES"/>
        </w:rPr>
      </w:pPr>
      <w:r w:rsidRPr="001A3546">
        <w:rPr>
          <w:i/>
          <w:sz w:val="22"/>
          <w:szCs w:val="20"/>
          <w:lang w:eastAsia="es-ES"/>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F0ADDF1" w14:textId="77777777" w:rsidR="00AE2EEB" w:rsidRDefault="00AE2EEB" w:rsidP="00F27927">
      <w:pPr>
        <w:spacing w:after="0"/>
        <w:jc w:val="both"/>
        <w:rPr>
          <w:lang w:eastAsia="es-ES"/>
        </w:rPr>
      </w:pPr>
    </w:p>
    <w:p w14:paraId="552205FB" w14:textId="2A6CC3CF" w:rsidR="00F27927" w:rsidRPr="00F27927" w:rsidRDefault="00F27927" w:rsidP="00F27927">
      <w:pPr>
        <w:spacing w:after="0"/>
        <w:jc w:val="both"/>
        <w:rPr>
          <w:lang w:eastAsia="es-ES"/>
        </w:rPr>
      </w:pPr>
      <w:r w:rsidRPr="00F27927">
        <w:rPr>
          <w:lang w:eastAsia="es-ES"/>
        </w:rPr>
        <w:t>As</w:t>
      </w:r>
      <w:r w:rsidR="001B292C">
        <w:rPr>
          <w:lang w:eastAsia="es-ES"/>
        </w:rPr>
        <w:t xml:space="preserve">í </w:t>
      </w:r>
      <w:r w:rsidRPr="00F27927">
        <w:rPr>
          <w:lang w:eastAsia="es-ES"/>
        </w:rPr>
        <w:t>mismo</w:t>
      </w:r>
      <w:r w:rsidR="001B292C">
        <w:rPr>
          <w:lang w:eastAsia="es-ES"/>
        </w:rPr>
        <w:t>,</w:t>
      </w:r>
      <w:r w:rsidRPr="00F27927">
        <w:rPr>
          <w:lang w:eastAsia="es-ES"/>
        </w:rPr>
        <w:t xml:space="preserve"> estos fueron incluidos en el CPACA en el artículo</w:t>
      </w:r>
      <w:r w:rsidR="00AE2EEB">
        <w:rPr>
          <w:lang w:eastAsia="es-ES"/>
        </w:rPr>
        <w:t xml:space="preserve"> 3</w:t>
      </w:r>
      <w:r w:rsidR="00045110">
        <w:rPr>
          <w:lang w:eastAsia="es-ES"/>
        </w:rPr>
        <w:t>, en el cual se dice</w:t>
      </w:r>
      <w:r w:rsidRPr="00F27927">
        <w:rPr>
          <w:lang w:eastAsia="es-ES"/>
        </w:rPr>
        <w:t>:</w:t>
      </w:r>
    </w:p>
    <w:p w14:paraId="673B1EE5" w14:textId="77777777" w:rsidR="00045110" w:rsidRDefault="00045110" w:rsidP="00045110">
      <w:pPr>
        <w:spacing w:after="0"/>
        <w:ind w:left="708"/>
        <w:jc w:val="both"/>
        <w:rPr>
          <w:i/>
          <w:iCs/>
          <w:sz w:val="22"/>
          <w:szCs w:val="20"/>
          <w:lang w:eastAsia="es-ES"/>
        </w:rPr>
      </w:pPr>
    </w:p>
    <w:p w14:paraId="154C6001" w14:textId="0ACCA0A2" w:rsidR="00F27927" w:rsidRPr="001A3546" w:rsidRDefault="00F27927" w:rsidP="001A3546">
      <w:pPr>
        <w:spacing w:after="0"/>
        <w:ind w:left="708"/>
        <w:jc w:val="both"/>
        <w:rPr>
          <w:i/>
          <w:lang w:eastAsia="es-ES"/>
        </w:rPr>
      </w:pPr>
      <w:r w:rsidRPr="001A3546">
        <w:rPr>
          <w:i/>
          <w:sz w:val="22"/>
          <w:szCs w:val="20"/>
          <w:lang w:eastAsia="es-ES"/>
        </w:rPr>
        <w:t>“Todas las actuaciones deberán interpretar y aplicar las disposiciones que regulan las actuaciones y procedimientos administrativos a la luz de los principios consagrados en la Constitución Política, en la Parte Primera de este Código y en las leyes especiales.</w:t>
      </w:r>
    </w:p>
    <w:p w14:paraId="72A1A2AE" w14:textId="77777777" w:rsidR="00045110" w:rsidRDefault="00045110" w:rsidP="00045110">
      <w:pPr>
        <w:spacing w:after="0"/>
        <w:ind w:left="708"/>
        <w:jc w:val="both"/>
        <w:rPr>
          <w:i/>
          <w:iCs/>
          <w:lang w:eastAsia="es-ES"/>
        </w:rPr>
      </w:pPr>
    </w:p>
    <w:p w14:paraId="2E0BB678" w14:textId="46F2FB5B" w:rsidR="00F27927" w:rsidRPr="001A3546" w:rsidRDefault="00F27927" w:rsidP="001A3546">
      <w:pPr>
        <w:spacing w:after="0"/>
        <w:ind w:left="708"/>
        <w:jc w:val="both"/>
        <w:rPr>
          <w:i/>
          <w:sz w:val="22"/>
          <w:szCs w:val="20"/>
          <w:lang w:eastAsia="es-ES"/>
        </w:rPr>
      </w:pPr>
      <w:r w:rsidRPr="001A3546">
        <w:rPr>
          <w:i/>
          <w:sz w:val="22"/>
          <w:szCs w:val="20"/>
          <w:lang w:eastAsia="es-ES"/>
        </w:rPr>
        <w:t>Las actuaciones administrativas se desarrollarán, especialmente, con arreglo a los principios del debido proceso, </w:t>
      </w:r>
      <w:r w:rsidRPr="001A3546">
        <w:rPr>
          <w:b/>
          <w:i/>
          <w:sz w:val="22"/>
          <w:szCs w:val="20"/>
          <w:lang w:eastAsia="es-ES"/>
        </w:rPr>
        <w:t>igualdad</w:t>
      </w:r>
      <w:r w:rsidRPr="001A3546">
        <w:rPr>
          <w:i/>
          <w:sz w:val="22"/>
          <w:szCs w:val="20"/>
          <w:lang w:eastAsia="es-ES"/>
        </w:rPr>
        <w:t>, imparcialidad, buena fe, moralidad, participación, responsabilidad, transparencia, publicidad, coordinación, eficacia, economía y celeridad.” (negrilla no es del texto original)”</w:t>
      </w:r>
    </w:p>
    <w:p w14:paraId="436EB928" w14:textId="77777777" w:rsidR="00045110" w:rsidRDefault="00045110" w:rsidP="00F27927">
      <w:pPr>
        <w:spacing w:after="0"/>
        <w:jc w:val="both"/>
        <w:rPr>
          <w:lang w:eastAsia="es-ES"/>
        </w:rPr>
      </w:pPr>
    </w:p>
    <w:p w14:paraId="1263E49A" w14:textId="66557B3F" w:rsidR="00F27927" w:rsidRPr="00F27927" w:rsidRDefault="00F27927" w:rsidP="00F27927">
      <w:pPr>
        <w:spacing w:after="0"/>
        <w:jc w:val="both"/>
        <w:rPr>
          <w:lang w:eastAsia="es-ES"/>
        </w:rPr>
      </w:pPr>
      <w:r w:rsidRPr="00F27927">
        <w:rPr>
          <w:lang w:eastAsia="es-ES"/>
        </w:rPr>
        <w:lastRenderedPageBreak/>
        <w:t>Cabe resaltar que estos principios son transversales a la función administrativa y deben ser aplicados por todas las entidades que hace</w:t>
      </w:r>
      <w:r w:rsidR="00874746">
        <w:rPr>
          <w:lang w:eastAsia="es-ES"/>
        </w:rPr>
        <w:t>n</w:t>
      </w:r>
      <w:r w:rsidRPr="00F27927">
        <w:rPr>
          <w:lang w:eastAsia="es-ES"/>
        </w:rPr>
        <w:t xml:space="preserve"> parte de la Rama Ejecutiva del poder público en todos los procedimientos administrativos. De la misma manera, el numeral 2 del artículo</w:t>
      </w:r>
      <w:r w:rsidR="00DB5E6A">
        <w:rPr>
          <w:lang w:eastAsia="es-ES"/>
        </w:rPr>
        <w:t xml:space="preserve"> 3</w:t>
      </w:r>
      <w:r w:rsidRPr="00F27927">
        <w:rPr>
          <w:lang w:eastAsia="es-ES"/>
        </w:rPr>
        <w:t> del CPACA realiza un corto desarrollo del principio de igualdad en la función administrativa</w:t>
      </w:r>
      <w:r w:rsidR="00DB5E6A">
        <w:rPr>
          <w:lang w:eastAsia="es-ES"/>
        </w:rPr>
        <w:t xml:space="preserve"> de la siguiente manera</w:t>
      </w:r>
      <w:r w:rsidRPr="00F27927">
        <w:rPr>
          <w:lang w:eastAsia="es-ES"/>
        </w:rPr>
        <w:t>:</w:t>
      </w:r>
    </w:p>
    <w:p w14:paraId="64314734" w14:textId="77777777" w:rsidR="00DB5E6A" w:rsidRDefault="00DB5E6A" w:rsidP="00DB5E6A">
      <w:pPr>
        <w:spacing w:after="0"/>
        <w:ind w:left="708"/>
        <w:jc w:val="both"/>
        <w:rPr>
          <w:i/>
          <w:iCs/>
          <w:lang w:eastAsia="es-ES"/>
        </w:rPr>
      </w:pPr>
    </w:p>
    <w:p w14:paraId="1D45949B" w14:textId="7AFD584C" w:rsidR="00F27927" w:rsidRPr="001A3546" w:rsidRDefault="00F27927" w:rsidP="001A3546">
      <w:pPr>
        <w:spacing w:after="0"/>
        <w:ind w:left="708"/>
        <w:jc w:val="both"/>
        <w:rPr>
          <w:i/>
          <w:sz w:val="22"/>
          <w:szCs w:val="20"/>
          <w:lang w:eastAsia="es-ES"/>
        </w:rPr>
      </w:pPr>
      <w:r w:rsidRPr="001A3546">
        <w:rPr>
          <w:i/>
          <w:sz w:val="22"/>
          <w:szCs w:val="20"/>
          <w:lang w:eastAsia="es-ES"/>
        </w:rPr>
        <w:t>“2. En virtud del principio de igualdad, las autoridades darán el mismo trato y protección a las personas e instituciones que intervengan en las actuaciones bajo su conocimiento. No obstante, serán objeto de trato y protección especial las personas que por su condición económica, física o mental se encuentran en circunstancias de debilidad manifiesta.”</w:t>
      </w:r>
    </w:p>
    <w:p w14:paraId="5D82B59D" w14:textId="77777777" w:rsidR="00DB5E6A" w:rsidRDefault="00DB5E6A" w:rsidP="00F27927">
      <w:pPr>
        <w:spacing w:after="0"/>
        <w:jc w:val="both"/>
        <w:rPr>
          <w:lang w:eastAsia="es-ES"/>
        </w:rPr>
      </w:pPr>
    </w:p>
    <w:p w14:paraId="1162BBAE" w14:textId="6AAA5958" w:rsidR="00F27927" w:rsidRDefault="00F27927" w:rsidP="00F27927">
      <w:pPr>
        <w:spacing w:after="0"/>
        <w:jc w:val="both"/>
        <w:rPr>
          <w:lang w:eastAsia="es-ES"/>
        </w:rPr>
      </w:pPr>
      <w:r w:rsidRPr="00F27927">
        <w:rPr>
          <w:lang w:eastAsia="es-ES"/>
        </w:rPr>
        <w:t>Igualmente, la Corte Constitucional, mediante la Sentencia C-</w:t>
      </w:r>
      <w:r w:rsidR="00154BCA">
        <w:rPr>
          <w:lang w:eastAsia="es-ES"/>
        </w:rPr>
        <w:t>816</w:t>
      </w:r>
      <w:r w:rsidRPr="00F27927">
        <w:rPr>
          <w:lang w:eastAsia="es-ES"/>
        </w:rPr>
        <w:t> de 2011, se pronunció sobre este principio presente en la función pública, realizando la siguiente consideración:</w:t>
      </w:r>
    </w:p>
    <w:p w14:paraId="4B23048A" w14:textId="77777777" w:rsidR="00EA1047" w:rsidRPr="00F27927" w:rsidRDefault="00EA1047" w:rsidP="00F27927">
      <w:pPr>
        <w:spacing w:after="0"/>
        <w:jc w:val="both"/>
        <w:rPr>
          <w:lang w:eastAsia="es-ES"/>
        </w:rPr>
      </w:pPr>
    </w:p>
    <w:p w14:paraId="13C6ACA0" w14:textId="35BB6CAB" w:rsidR="00F27927" w:rsidRPr="001A3546" w:rsidRDefault="00F27927" w:rsidP="001B292C">
      <w:pPr>
        <w:spacing w:after="0"/>
        <w:ind w:left="567"/>
        <w:jc w:val="both"/>
        <w:rPr>
          <w:i/>
          <w:lang w:eastAsia="es-ES"/>
        </w:rPr>
      </w:pPr>
      <w:r w:rsidRPr="001A3546">
        <w:rPr>
          <w:i/>
          <w:sz w:val="22"/>
          <w:szCs w:val="20"/>
          <w:lang w:eastAsia="es-ES"/>
        </w:rPr>
        <w:t>“Si las autoridades deben sometimiento a la Constitución y la ley en el ejercicio de sus funciones, deben también sujeción al principio de igualdad que la propia Ley Superior prescribe: </w:t>
      </w:r>
      <w:r w:rsidRPr="001A3546">
        <w:rPr>
          <w:b/>
          <w:i/>
          <w:sz w:val="22"/>
          <w:szCs w:val="20"/>
          <w:lang w:eastAsia="es-ES"/>
        </w:rPr>
        <w:t>implícito en la obligación para las autoridades de sometimiento a la Constitución y la Ley, se encuentra el deber de igualdad en el ejercicio de la función pública como mandato fundamental.</w:t>
      </w:r>
      <w:r w:rsidRPr="001A3546">
        <w:rPr>
          <w:i/>
          <w:sz w:val="22"/>
          <w:szCs w:val="20"/>
          <w:lang w:eastAsia="es-ES"/>
        </w:rPr>
        <w:t> En otras palabras, el deber de las autoridades de trato igualitario a las personas emana de la obligación general de acatamiento de la Constitución y la ley, inscrito en la noción de Estado de Derecho. De este modo, desde el momento en que las autoridades administrativas juran el cumplimiento de la Constitución y de la ley -actos de legislación-, se encuentran obligados a la garantía de la igualdad legal de todos los ciudadanos, tanto en el ámbito de la administración pública como en la esfera de los procesos judiciales. Del principio de igualdad de todos ante la ley, se deriva el derecho ciudadano de recibir «la misma protección y trato de las autoridades» (CP, art</w:t>
      </w:r>
      <w:r w:rsidR="007330AB">
        <w:rPr>
          <w:i/>
          <w:sz w:val="22"/>
          <w:szCs w:val="20"/>
          <w:lang w:eastAsia="es-ES"/>
        </w:rPr>
        <w:t xml:space="preserve"> </w:t>
      </w:r>
      <w:r w:rsidR="006B40F1">
        <w:rPr>
          <w:i/>
          <w:sz w:val="22"/>
          <w:szCs w:val="20"/>
          <w:lang w:eastAsia="es-ES"/>
        </w:rPr>
        <w:t>13)</w:t>
      </w:r>
      <w:r w:rsidRPr="001A3546">
        <w:rPr>
          <w:i/>
          <w:sz w:val="22"/>
          <w:szCs w:val="20"/>
          <w:lang w:eastAsia="es-ES"/>
        </w:rPr>
        <w:t xml:space="preserve"> Su garantía y realización efectiva obliga a todos los servidores públicos en el ejercicio de sus funciones, lo mismo autoridades administrativas que jueces, también como expresión del sometimiento del poder al derecho y la proscripción de la discriminación, la arbitrariedad y la inseguridad. </w:t>
      </w:r>
      <w:r w:rsidRPr="001A3546">
        <w:rPr>
          <w:b/>
          <w:i/>
          <w:sz w:val="22"/>
          <w:szCs w:val="20"/>
          <w:lang w:eastAsia="es-ES"/>
        </w:rPr>
        <w:t>Así mismo, de esta obligación constitucional de igualdad de «protección y trato» de las personas, se desprende: (i) el deber a cargo de la administración y la judicatura de adjudicación igualitaria del derecho; (</w:t>
      </w:r>
      <w:proofErr w:type="spellStart"/>
      <w:r w:rsidRPr="001A3546">
        <w:rPr>
          <w:b/>
          <w:i/>
          <w:sz w:val="22"/>
          <w:szCs w:val="20"/>
          <w:lang w:eastAsia="es-ES"/>
        </w:rPr>
        <w:t>ii</w:t>
      </w:r>
      <w:proofErr w:type="spellEnd"/>
      <w:r w:rsidRPr="001A3546">
        <w:rPr>
          <w:b/>
          <w:i/>
          <w:sz w:val="22"/>
          <w:szCs w:val="20"/>
          <w:lang w:eastAsia="es-ES"/>
        </w:rPr>
        <w:t>) y el derecho de las personas a exigir de sus servidores que, en el ejercicio de sus funciones administrativas o judiciales, reconozcan los mismos derechos a quienes se hallen en una misma situación de hecho prevista en la ley.</w:t>
      </w:r>
      <w:r w:rsidRPr="001A3546">
        <w:rPr>
          <w:i/>
          <w:sz w:val="22"/>
          <w:szCs w:val="20"/>
          <w:lang w:eastAsia="es-ES"/>
        </w:rPr>
        <w:t> En suma, el deber de igualdad en la aplicación de las normas jurídica, al ser un principio constitucional, es a su vez expresión del otro principio constitucional mencionado, el de legalidad. El ejercicio de las funciones administrativa y judicial transcurre en el marco del estado constitucional de derecho y entraña la concreción del principio de igualdad de trato y protección debidos a los ciudadanos, en cumplimiento del fin estatal esencial de garantizar la efectividad de los derechos, y en consideración a la seguridad jurídica de los asociados, la buena fe y la coherencia del orden jurídico. Lo que conduce al deber de reconocimiento y adjudicación igualitaria de los derechos, a sujetos iguales, como regla general de las actuaciones judiciales y administrativas.” (negrilla no es del texto original)</w:t>
      </w:r>
    </w:p>
    <w:p w14:paraId="07068963" w14:textId="77777777" w:rsidR="00EA1047" w:rsidRDefault="00EA1047" w:rsidP="00F27927">
      <w:pPr>
        <w:spacing w:after="0"/>
        <w:jc w:val="both"/>
        <w:rPr>
          <w:lang w:eastAsia="es-ES"/>
        </w:rPr>
      </w:pPr>
    </w:p>
    <w:p w14:paraId="639F2724" w14:textId="50254BD7" w:rsidR="002A48A6" w:rsidRDefault="002A48A6" w:rsidP="002A48A6">
      <w:pPr>
        <w:spacing w:after="0"/>
        <w:jc w:val="both"/>
        <w:rPr>
          <w:lang w:eastAsia="es-ES"/>
        </w:rPr>
      </w:pPr>
      <w:r>
        <w:rPr>
          <w:lang w:eastAsia="es-ES"/>
        </w:rPr>
        <w:t xml:space="preserve">Teniendo en cuenta que, los procedimientos descritos en la Resolución CREG 175 de 2021 ya han sido aplicados a diferentes tramos de diferentes empresas, </w:t>
      </w:r>
      <w:r w:rsidR="00B15E8B">
        <w:rPr>
          <w:lang w:eastAsia="es-ES"/>
        </w:rPr>
        <w:t xml:space="preserve">con base en </w:t>
      </w:r>
      <w:r>
        <w:rPr>
          <w:lang w:eastAsia="es-ES"/>
        </w:rPr>
        <w:t xml:space="preserve">el principio de igualdad y de trato igual, bajo situaciones similares, </w:t>
      </w:r>
      <w:r w:rsidR="00537B70">
        <w:rPr>
          <w:lang w:eastAsia="es-ES"/>
        </w:rPr>
        <w:t xml:space="preserve">no es procedente </w:t>
      </w:r>
      <w:r>
        <w:rPr>
          <w:lang w:eastAsia="es-ES"/>
        </w:rPr>
        <w:t xml:space="preserve">aplicar un procedimiento distinto para efectos del ajuste de cargos de la empresa TGI. </w:t>
      </w:r>
    </w:p>
    <w:p w14:paraId="6BAD8C28" w14:textId="77777777" w:rsidR="002A48A6" w:rsidRDefault="002A48A6" w:rsidP="002A48A6">
      <w:pPr>
        <w:spacing w:after="0"/>
        <w:jc w:val="both"/>
        <w:rPr>
          <w:lang w:eastAsia="es-ES"/>
        </w:rPr>
      </w:pPr>
    </w:p>
    <w:p w14:paraId="0FD1FB7E" w14:textId="77777777" w:rsidR="00245BBA" w:rsidRDefault="00245BBA" w:rsidP="002A48A6">
      <w:pPr>
        <w:spacing w:after="0"/>
        <w:jc w:val="both"/>
        <w:rPr>
          <w:lang w:eastAsia="es-ES"/>
        </w:rPr>
      </w:pPr>
      <w:r>
        <w:rPr>
          <w:lang w:eastAsia="es-ES"/>
        </w:rPr>
        <w:t>L</w:t>
      </w:r>
      <w:r w:rsidR="002A48A6">
        <w:rPr>
          <w:lang w:eastAsia="es-ES"/>
        </w:rPr>
        <w:t>a CREG violaría el principio de igualdad al reconocer derechos diferentes a quienes se encontraban en situaciones de hecho similares, pues TGI se encuentra en la misma situación de hecho prevista en la regulación para aplicar el ajuste de sus cargos con base en la valoración de activos que cumplieron la VUN antes de la expedición de la Resolución 175 de 2021, por lo que la resolución que se recurre resuelve una situación particular y concreta que debe ser decidida bajo el marco regulatorio vigente al momento de su expedición.</w:t>
      </w:r>
      <w:r>
        <w:rPr>
          <w:lang w:eastAsia="es-ES"/>
        </w:rPr>
        <w:t xml:space="preserve"> </w:t>
      </w:r>
    </w:p>
    <w:p w14:paraId="5C33E46C" w14:textId="77777777" w:rsidR="00245BBA" w:rsidRDefault="00245BBA" w:rsidP="002A48A6">
      <w:pPr>
        <w:spacing w:after="0"/>
        <w:jc w:val="both"/>
        <w:rPr>
          <w:lang w:eastAsia="es-ES"/>
        </w:rPr>
      </w:pPr>
    </w:p>
    <w:p w14:paraId="47D92242" w14:textId="03FA7BAF" w:rsidR="00F27927" w:rsidRDefault="00F27927" w:rsidP="002A48A6">
      <w:pPr>
        <w:spacing w:after="0"/>
        <w:jc w:val="both"/>
        <w:rPr>
          <w:lang w:eastAsia="es-ES"/>
        </w:rPr>
      </w:pPr>
      <w:r w:rsidRPr="00F27927">
        <w:rPr>
          <w:lang w:eastAsia="es-ES"/>
        </w:rPr>
        <w:t>Es decir</w:t>
      </w:r>
      <w:r w:rsidR="00245BBA">
        <w:rPr>
          <w:lang w:eastAsia="es-ES"/>
        </w:rPr>
        <w:t xml:space="preserve"> que</w:t>
      </w:r>
      <w:r w:rsidRPr="00F27927">
        <w:rPr>
          <w:lang w:eastAsia="es-ES"/>
        </w:rPr>
        <w:t>, en virtud de la obligación de los funcionarios públicos de someterse al imperio de la Constitución y de la Ley, se desprende la obligación de estos de respetar el principio de igualdad en el ejercicio de la función pública. Además, el principio de igualdad contempla el deber a cargo de la administración de adjudicar igualitariamente los derechos a las personas que se hallen en una misma situación de hecho prevista en la Ley, con el derecho de las personas de exigirlo.</w:t>
      </w:r>
    </w:p>
    <w:p w14:paraId="03C2AB9D" w14:textId="77777777" w:rsidR="0037155B" w:rsidRPr="00F27927" w:rsidRDefault="0037155B" w:rsidP="00F27927">
      <w:pPr>
        <w:spacing w:after="0"/>
        <w:jc w:val="both"/>
        <w:rPr>
          <w:lang w:eastAsia="es-ES"/>
        </w:rPr>
      </w:pPr>
    </w:p>
    <w:p w14:paraId="055751D8" w14:textId="03D114DF" w:rsidR="00206F3D" w:rsidRPr="003B7D1F" w:rsidRDefault="00807E9E" w:rsidP="000E1983">
      <w:pPr>
        <w:pStyle w:val="Tit1"/>
        <w:numPr>
          <w:ilvl w:val="4"/>
          <w:numId w:val="7"/>
        </w:numPr>
        <w:ind w:left="284" w:firstLine="36"/>
        <w:jc w:val="both"/>
        <w:rPr>
          <w:b w:val="0"/>
          <w:bCs/>
          <w:lang w:val="es-ES"/>
        </w:rPr>
      </w:pPr>
      <w:r>
        <w:rPr>
          <w:b w:val="0"/>
          <w:bCs/>
          <w:lang w:val="es-ES"/>
        </w:rPr>
        <w:t>I</w:t>
      </w:r>
      <w:r w:rsidR="00B07676" w:rsidRPr="003B7D1F">
        <w:rPr>
          <w:b w:val="0"/>
          <w:bCs/>
          <w:lang w:val="es-ES"/>
        </w:rPr>
        <w:t>ntegral</w:t>
      </w:r>
      <w:r>
        <w:rPr>
          <w:b w:val="0"/>
          <w:bCs/>
          <w:lang w:val="es-ES"/>
        </w:rPr>
        <w:t>idad</w:t>
      </w:r>
      <w:r w:rsidR="00B07676" w:rsidRPr="003B7D1F">
        <w:rPr>
          <w:b w:val="0"/>
          <w:bCs/>
          <w:lang w:val="es-ES"/>
        </w:rPr>
        <w:t xml:space="preserve"> de la</w:t>
      </w:r>
      <w:r>
        <w:rPr>
          <w:b w:val="0"/>
          <w:bCs/>
          <w:lang w:val="es-ES"/>
        </w:rPr>
        <w:t xml:space="preserve"> a</w:t>
      </w:r>
      <w:r w:rsidR="000334E7">
        <w:rPr>
          <w:b w:val="0"/>
          <w:bCs/>
          <w:lang w:val="es-ES"/>
        </w:rPr>
        <w:t>ctualización de cargos descritos en la</w:t>
      </w:r>
      <w:r w:rsidR="00B07676" w:rsidRPr="003B7D1F">
        <w:rPr>
          <w:b w:val="0"/>
          <w:bCs/>
          <w:lang w:val="es-ES"/>
        </w:rPr>
        <w:t xml:space="preserve"> metodología descrita en la Resolución CREG 175 de 2021</w:t>
      </w:r>
    </w:p>
    <w:p w14:paraId="2D22345A" w14:textId="77777777" w:rsidR="00B36BE5" w:rsidRDefault="00B36BE5" w:rsidP="00F0127C">
      <w:pPr>
        <w:rPr>
          <w:lang w:val="es-ES" w:eastAsia="es-ES"/>
        </w:rPr>
      </w:pPr>
    </w:p>
    <w:p w14:paraId="7EEA4024" w14:textId="77777777" w:rsidR="000C5297" w:rsidRDefault="00BB7CDA" w:rsidP="00BB7CDA">
      <w:pPr>
        <w:jc w:val="both"/>
      </w:pPr>
      <w:r>
        <w:t xml:space="preserve">La vigencia y aplicación de las disposiciones de </w:t>
      </w:r>
      <w:r w:rsidR="000C5297">
        <w:t>la</w:t>
      </w:r>
      <w:r>
        <w:t xml:space="preserve"> metodología pueden explicarse con el hecho de que, en una metodología de remuneración de una actividad, los activos sobre los cuales se valoran los cargos no son inamovibles, sino ajustables en el tiempo. </w:t>
      </w:r>
    </w:p>
    <w:p w14:paraId="525DFDFA" w14:textId="77777777" w:rsidR="000C5297" w:rsidRDefault="000C5297" w:rsidP="00BB7CDA">
      <w:pPr>
        <w:jc w:val="both"/>
      </w:pPr>
    </w:p>
    <w:p w14:paraId="39B9A699" w14:textId="2811EA80" w:rsidR="00BB7CDA" w:rsidRDefault="00BB7CDA" w:rsidP="00BB7CDA">
      <w:pPr>
        <w:jc w:val="both"/>
      </w:pPr>
      <w:r>
        <w:t>Es decir, existen posibilidades dentro de la regulación que permiten el ajuste de los cargos por entrada o salida de activos considerados para su cálculo. Ejemplo de lo anterior son las reglas determinadas para la valoración de los activos que han cumplido período de Vida Útil Normativa (VUN). En este caso, después de determinado tiempo, el agente transportador puede decidir reponer o mantener su activo y, con ello, debe solicitar a la Comisión el recálculo de su cargo.</w:t>
      </w:r>
    </w:p>
    <w:p w14:paraId="6683024C" w14:textId="77777777" w:rsidR="000C5297" w:rsidRDefault="000C5297" w:rsidP="00BB7CDA">
      <w:pPr>
        <w:jc w:val="both"/>
      </w:pPr>
    </w:p>
    <w:p w14:paraId="3A256C26" w14:textId="41E7C15B" w:rsidR="002E3329" w:rsidRDefault="005A636E" w:rsidP="00BB7CDA">
      <w:pPr>
        <w:jc w:val="both"/>
      </w:pPr>
      <w:r>
        <w:t>Durante la vigencia de la metodología se aplicar</w:t>
      </w:r>
      <w:r w:rsidR="00BE284D">
        <w:t>án</w:t>
      </w:r>
      <w:r>
        <w:t xml:space="preserve"> diferentes factores. Es por esto </w:t>
      </w:r>
      <w:proofErr w:type="gramStart"/>
      <w:r>
        <w:t>que</w:t>
      </w:r>
      <w:proofErr w:type="gramEnd"/>
      <w:r>
        <w:t xml:space="preserve">, cuando hablamos de aplicación de la regulación, este corresponde al proceso a través del cual sus disposiciones son interpretadas y desarrolladas frente a situaciones fácticas concretas. </w:t>
      </w:r>
    </w:p>
    <w:p w14:paraId="73B98CD6" w14:textId="77777777" w:rsidR="002E3329" w:rsidRDefault="002E3329" w:rsidP="00BB7CDA">
      <w:pPr>
        <w:jc w:val="both"/>
      </w:pPr>
    </w:p>
    <w:p w14:paraId="6069EA5D" w14:textId="77777777" w:rsidR="005D71FB" w:rsidRDefault="005A636E" w:rsidP="00BB7CDA">
      <w:pPr>
        <w:jc w:val="both"/>
      </w:pPr>
      <w:r>
        <w:t xml:space="preserve">Para el caso de la metodología de transporte de gas natural, se identifican algunas situaciones jurídicas de aplicación de la nueva metodología durante la vigencia de </w:t>
      </w:r>
      <w:proofErr w:type="gramStart"/>
      <w:r>
        <w:t>la misma</w:t>
      </w:r>
      <w:proofErr w:type="gramEnd"/>
      <w:r>
        <w:t xml:space="preserve">: i) Las inversiones que ya se encuentran reconocidas en la tarifa y frente a las cuales no se debe llevar a cabo un nuevo proceso de valoración; es decir, sobre las cuales ya se hizo un análisis de costo eficiente que no requiere revisión. </w:t>
      </w:r>
      <w:proofErr w:type="spellStart"/>
      <w:r>
        <w:t>ii</w:t>
      </w:r>
      <w:proofErr w:type="spellEnd"/>
      <w:r>
        <w:t xml:space="preserve">) Las inversiones ejecutadas por el transportador teniendo vigente un cargo máximo de transporte que no las incluía, las cuales implican un proceso de valoración para que sean reconocidas en la tarifa. </w:t>
      </w:r>
      <w:proofErr w:type="spellStart"/>
      <w:r>
        <w:t>iii</w:t>
      </w:r>
      <w:proofErr w:type="spellEnd"/>
      <w:r>
        <w:t xml:space="preserve">) Las inversiones representadas en activos que cumplirán el período de Vida Útil Normativa definido por la regulación anterior y por la nueva regulación. </w:t>
      </w:r>
      <w:proofErr w:type="spellStart"/>
      <w:r>
        <w:t>iv</w:t>
      </w:r>
      <w:proofErr w:type="spellEnd"/>
      <w:r>
        <w:t xml:space="preserve">) La aplicación de la nueva metodología a las inversiones que se ejecutarán en la construcción de activos para reemplazar otros que cumplirán el período de Vida Útil Normativa, durante la vigencia de la nueva metodología. v) La aplicación de la nueva metodología a las inversiones en nuevos activos para ampliación de </w:t>
      </w:r>
      <w:r>
        <w:lastRenderedPageBreak/>
        <w:t xml:space="preserve">capacidad del sistema nacional de transporte. vi) La aplicación de la tasa de descuento. </w:t>
      </w:r>
    </w:p>
    <w:p w14:paraId="5441B527" w14:textId="77777777" w:rsidR="005D71FB" w:rsidRDefault="005D71FB" w:rsidP="00BB7CDA">
      <w:pPr>
        <w:jc w:val="both"/>
      </w:pPr>
    </w:p>
    <w:p w14:paraId="4555CAC8" w14:textId="044A9186" w:rsidR="000C5297" w:rsidRDefault="005A636E" w:rsidP="00BB7CDA">
      <w:pPr>
        <w:jc w:val="both"/>
      </w:pPr>
      <w:r>
        <w:t>Las situaciones enunciadas no concurren en un solo momento durante el período tarifario, por lo cual, para atenderlas, es necesario el desarrollo de unos procedimientos de actualización de estos. Lo anterior implica varias decisiones de aplicación de la metodología durante el período de su vigencia, razón por la cual, para atender la diversidad de situaciones propias de la actividad de transporte de gas natural, se ha considerado ajustar los cargos para incorporar los casos anteriores.</w:t>
      </w:r>
    </w:p>
    <w:p w14:paraId="40896EF2" w14:textId="77777777" w:rsidR="00C20CB0" w:rsidRDefault="00C20CB0" w:rsidP="00BB7CDA">
      <w:pPr>
        <w:jc w:val="both"/>
      </w:pPr>
    </w:p>
    <w:p w14:paraId="4E65C652" w14:textId="541796F3" w:rsidR="00485418" w:rsidRDefault="00C20CB0" w:rsidP="00BB7CDA">
      <w:pPr>
        <w:jc w:val="both"/>
      </w:pPr>
      <w:r>
        <w:t>La aplicación del artículo 7</w:t>
      </w:r>
      <w:r w:rsidR="00D04996">
        <w:t xml:space="preserve"> considera una de las diferentes actualizaciones de los cargos de las empresas</w:t>
      </w:r>
      <w:r w:rsidR="0034135B">
        <w:t>, las cuales</w:t>
      </w:r>
      <w:r w:rsidR="00860B7B">
        <w:t>,</w:t>
      </w:r>
      <w:r w:rsidR="0034135B">
        <w:t xml:space="preserve"> </w:t>
      </w:r>
      <w:r w:rsidR="00485418">
        <w:t>una vez en firme la decisión</w:t>
      </w:r>
      <w:r w:rsidR="00860E84">
        <w:rPr>
          <w:rStyle w:val="Refdenotaalpie"/>
        </w:rPr>
        <w:footnoteReference w:id="4"/>
      </w:r>
      <w:r w:rsidR="00485418">
        <w:t>, deberán aplicar lo dispuesto en el artículo 6</w:t>
      </w:r>
      <w:r w:rsidR="009467B7">
        <w:t xml:space="preserve"> (tasa de cambio y cambio de dólares a pesos)</w:t>
      </w:r>
      <w:r w:rsidR="00524AEC">
        <w:t xml:space="preserve"> y posteriormente se</w:t>
      </w:r>
      <w:r w:rsidR="008E3F05">
        <w:t xml:space="preserve"> aplicará una</w:t>
      </w:r>
      <w:r w:rsidR="00B72B95">
        <w:t xml:space="preserve"> nueva actualización de los cargos,</w:t>
      </w:r>
      <w:r w:rsidR="00497170">
        <w:t xml:space="preserve"> derivad</w:t>
      </w:r>
      <w:r w:rsidR="000619A4">
        <w:t>a</w:t>
      </w:r>
      <w:r w:rsidR="00497170">
        <w:t xml:space="preserve"> del</w:t>
      </w:r>
      <w:r w:rsidR="00056A04">
        <w:t xml:space="preserve"> </w:t>
      </w:r>
      <w:r w:rsidR="000619A4">
        <w:t>expediente</w:t>
      </w:r>
      <w:r w:rsidR="00056A04">
        <w:t xml:space="preserve"> tarifario que p</w:t>
      </w:r>
      <w:r w:rsidR="001903DE">
        <w:t>resentaron las empresas en el mes de febrero de 2022</w:t>
      </w:r>
      <w:r w:rsidR="001B292C">
        <w:t>,</w:t>
      </w:r>
      <w:r w:rsidR="001903DE">
        <w:t xml:space="preserve"> y sobre las cuales la Comisión abrió </w:t>
      </w:r>
      <w:r w:rsidR="000619A4">
        <w:t>una actuación administrativa</w:t>
      </w:r>
      <w:r w:rsidR="001B292C">
        <w:t>,</w:t>
      </w:r>
      <w:r w:rsidR="000619A4">
        <w:t xml:space="preserve"> y</w:t>
      </w:r>
      <w:r w:rsidR="001903DE">
        <w:t xml:space="preserve"> tr</w:t>
      </w:r>
      <w:r w:rsidR="001B292C">
        <w:t>a</w:t>
      </w:r>
      <w:r w:rsidR="001903DE">
        <w:t>mit</w:t>
      </w:r>
      <w:r w:rsidR="00A574C5">
        <w:t>ó</w:t>
      </w:r>
      <w:r w:rsidR="001903DE">
        <w:t xml:space="preserve"> el cálculo de </w:t>
      </w:r>
      <w:r w:rsidR="000619A4">
        <w:t xml:space="preserve">una nueva actualización de los cargos de transporte </w:t>
      </w:r>
      <w:r w:rsidR="001903DE">
        <w:t xml:space="preserve">considerando las diferentes variables descritas en la metodología. </w:t>
      </w:r>
    </w:p>
    <w:p w14:paraId="4B0FC9A5" w14:textId="77777777" w:rsidR="001903DE" w:rsidRDefault="001903DE" w:rsidP="00BB7CDA">
      <w:pPr>
        <w:jc w:val="both"/>
      </w:pPr>
    </w:p>
    <w:p w14:paraId="71BD126E" w14:textId="371231E8" w:rsidR="0028588B" w:rsidRDefault="0028588B" w:rsidP="00BB7CDA">
      <w:pPr>
        <w:jc w:val="both"/>
      </w:pPr>
      <w:r>
        <w:t xml:space="preserve">Con lo expuesto, </w:t>
      </w:r>
      <w:r w:rsidR="00F94728">
        <w:t>se da</w:t>
      </w:r>
      <w:r w:rsidR="007E3FBD">
        <w:t xml:space="preserve"> claridad </w:t>
      </w:r>
      <w:r w:rsidR="001B292C">
        <w:t xml:space="preserve">de </w:t>
      </w:r>
      <w:r w:rsidR="007E3FBD">
        <w:t xml:space="preserve">que </w:t>
      </w:r>
      <w:r w:rsidR="00166391">
        <w:t xml:space="preserve">el procedimiento que se aprueba mediante la Resolución CREG 502 024 de 2022, </w:t>
      </w:r>
      <w:r w:rsidR="00A17AED">
        <w:t xml:space="preserve">es una </w:t>
      </w:r>
      <w:r w:rsidR="00AF12A7">
        <w:t xml:space="preserve">primera aplicación </w:t>
      </w:r>
      <w:r w:rsidR="00F26DD8">
        <w:t xml:space="preserve">de la actualización de cargos para </w:t>
      </w:r>
      <w:r w:rsidR="00363680">
        <w:t>aplicar una de las variables a considerar dentro de la estructura de capital de las empresas</w:t>
      </w:r>
      <w:r w:rsidR="00D27B6B">
        <w:t xml:space="preserve">, pero </w:t>
      </w:r>
      <w:r w:rsidR="00321163">
        <w:t xml:space="preserve">no es la única. </w:t>
      </w:r>
      <w:proofErr w:type="gramStart"/>
      <w:r w:rsidR="003570AB">
        <w:t>El cargo a trasladar</w:t>
      </w:r>
      <w:proofErr w:type="gramEnd"/>
      <w:r w:rsidR="003570AB">
        <w:t xml:space="preserve"> a los usuarios considera diferentes variables que propenden por la eficiencia del cargo y el reflejo de las situaciones del mercado</w:t>
      </w:r>
      <w:r w:rsidR="00192C78">
        <w:t>.</w:t>
      </w:r>
    </w:p>
    <w:p w14:paraId="0637582C" w14:textId="297D7E5F" w:rsidR="00C20CB0" w:rsidRPr="00F0127C" w:rsidRDefault="00485418" w:rsidP="00BB7CDA">
      <w:pPr>
        <w:jc w:val="both"/>
        <w:rPr>
          <w:lang w:val="es-ES" w:eastAsia="es-ES"/>
        </w:rPr>
      </w:pPr>
      <w:r>
        <w:t xml:space="preserve"> </w:t>
      </w:r>
      <w:r w:rsidR="00D04996">
        <w:t xml:space="preserve"> </w:t>
      </w:r>
    </w:p>
    <w:p w14:paraId="58249A9E" w14:textId="29611644" w:rsidR="0037155B" w:rsidRPr="00FD5A58" w:rsidRDefault="00FD5A58" w:rsidP="0020588C">
      <w:pPr>
        <w:pStyle w:val="Tit1"/>
        <w:numPr>
          <w:ilvl w:val="4"/>
          <w:numId w:val="7"/>
        </w:numPr>
        <w:ind w:left="426" w:firstLine="0"/>
        <w:jc w:val="both"/>
        <w:rPr>
          <w:b w:val="0"/>
          <w:bCs/>
          <w:lang w:val="es-ES"/>
        </w:rPr>
      </w:pPr>
      <w:r w:rsidRPr="00FD5A58">
        <w:rPr>
          <w:b w:val="0"/>
          <w:bCs/>
          <w:lang w:val="es-ES"/>
        </w:rPr>
        <w:t>Motivación y sustentos de la decisión</w:t>
      </w:r>
    </w:p>
    <w:p w14:paraId="60AF3548" w14:textId="77777777" w:rsidR="00CE4799" w:rsidRDefault="00CE4799" w:rsidP="00CE4799">
      <w:pPr>
        <w:rPr>
          <w:lang w:val="es-ES" w:eastAsia="es-ES"/>
        </w:rPr>
      </w:pPr>
    </w:p>
    <w:p w14:paraId="6AD2663B" w14:textId="35415E4E" w:rsidR="00FE20F4" w:rsidRDefault="00894DE6" w:rsidP="001577A2">
      <w:pPr>
        <w:jc w:val="both"/>
        <w:rPr>
          <w:lang w:val="es-ES" w:eastAsia="es-ES"/>
        </w:rPr>
      </w:pPr>
      <w:r>
        <w:rPr>
          <w:lang w:val="es-ES" w:eastAsia="es-ES"/>
        </w:rPr>
        <w:t xml:space="preserve">La </w:t>
      </w:r>
      <w:r w:rsidR="00F904EF">
        <w:rPr>
          <w:lang w:val="es-ES" w:eastAsia="es-ES"/>
        </w:rPr>
        <w:t>R</w:t>
      </w:r>
      <w:r>
        <w:rPr>
          <w:lang w:val="es-ES" w:eastAsia="es-ES"/>
        </w:rPr>
        <w:t>esolución CREG 502 024 de 2022 contiene dentro de sus considerandos todas las motivaciones del acto</w:t>
      </w:r>
      <w:r w:rsidR="00EF5B48">
        <w:rPr>
          <w:lang w:val="es-ES" w:eastAsia="es-ES"/>
        </w:rPr>
        <w:t xml:space="preserve"> de manera autocontenida</w:t>
      </w:r>
      <w:r w:rsidR="00692E20">
        <w:rPr>
          <w:lang w:val="es-ES" w:eastAsia="es-ES"/>
        </w:rPr>
        <w:t>, basa</w:t>
      </w:r>
      <w:r w:rsidR="00E430BD">
        <w:rPr>
          <w:lang w:val="es-ES" w:eastAsia="es-ES"/>
        </w:rPr>
        <w:t>n</w:t>
      </w:r>
      <w:r w:rsidR="00692E20">
        <w:rPr>
          <w:lang w:val="es-ES" w:eastAsia="es-ES"/>
        </w:rPr>
        <w:t>do</w:t>
      </w:r>
      <w:r w:rsidR="0042390B">
        <w:rPr>
          <w:lang w:val="es-ES" w:eastAsia="es-ES"/>
        </w:rPr>
        <w:t xml:space="preserve"> su aná</w:t>
      </w:r>
      <w:r w:rsidR="003A6778">
        <w:rPr>
          <w:lang w:val="es-ES" w:eastAsia="es-ES"/>
        </w:rPr>
        <w:t>lis</w:t>
      </w:r>
      <w:r w:rsidR="00F72C5F">
        <w:rPr>
          <w:lang w:val="es-ES" w:eastAsia="es-ES"/>
        </w:rPr>
        <w:t>is</w:t>
      </w:r>
      <w:r w:rsidR="00E430BD">
        <w:rPr>
          <w:lang w:val="es-ES" w:eastAsia="es-ES"/>
        </w:rPr>
        <w:t xml:space="preserve"> y cálculo</w:t>
      </w:r>
      <w:r w:rsidR="003A6778">
        <w:rPr>
          <w:lang w:val="es-ES" w:eastAsia="es-ES"/>
        </w:rPr>
        <w:t xml:space="preserve"> en información </w:t>
      </w:r>
      <w:r w:rsidR="00755D51">
        <w:rPr>
          <w:lang w:val="es-ES" w:eastAsia="es-ES"/>
        </w:rPr>
        <w:t>que consta en el expediente digital</w:t>
      </w:r>
      <w:r w:rsidR="00256278">
        <w:rPr>
          <w:lang w:val="es-ES" w:eastAsia="es-ES"/>
        </w:rPr>
        <w:t xml:space="preserve"> de la actuación</w:t>
      </w:r>
      <w:r w:rsidR="00755D51">
        <w:rPr>
          <w:lang w:val="es-ES" w:eastAsia="es-ES"/>
        </w:rPr>
        <w:t xml:space="preserve"> y que es de libre acceso a la información pública </w:t>
      </w:r>
      <w:r w:rsidR="001577A2">
        <w:rPr>
          <w:lang w:val="es-ES" w:eastAsia="es-ES"/>
        </w:rPr>
        <w:t xml:space="preserve">para los terceros interesados reconocidos en ella. </w:t>
      </w:r>
    </w:p>
    <w:p w14:paraId="5F08525E" w14:textId="77777777" w:rsidR="004B7C43" w:rsidRDefault="004B7C43" w:rsidP="001577A2">
      <w:pPr>
        <w:jc w:val="both"/>
        <w:rPr>
          <w:lang w:val="es-ES" w:eastAsia="es-ES"/>
        </w:rPr>
      </w:pPr>
    </w:p>
    <w:p w14:paraId="07F6887F" w14:textId="203C8012" w:rsidR="00E418B7" w:rsidRDefault="00C23ACB" w:rsidP="001577A2">
      <w:pPr>
        <w:jc w:val="both"/>
        <w:rPr>
          <w:rFonts w:eastAsia="Times New Roman" w:cs="Arial"/>
          <w:color w:val="000000" w:themeColor="text1"/>
          <w:spacing w:val="-3"/>
          <w:szCs w:val="24"/>
          <w:lang w:val="es-ES" w:eastAsia="es-ES"/>
        </w:rPr>
      </w:pPr>
      <w:r>
        <w:rPr>
          <w:lang w:val="es-ES" w:eastAsia="es-ES"/>
        </w:rPr>
        <w:t>Para el caso concreto, r</w:t>
      </w:r>
      <w:r w:rsidR="00852877">
        <w:rPr>
          <w:lang w:val="es-ES" w:eastAsia="es-ES"/>
        </w:rPr>
        <w:t xml:space="preserve">especto a las evidencias encontradas por parte de </w:t>
      </w:r>
      <w:proofErr w:type="spellStart"/>
      <w:r w:rsidR="00CA67F1">
        <w:rPr>
          <w:lang w:val="es-ES" w:eastAsia="es-ES"/>
        </w:rPr>
        <w:t>Vanti</w:t>
      </w:r>
      <w:proofErr w:type="spellEnd"/>
      <w:r w:rsidR="00CA67F1">
        <w:rPr>
          <w:lang w:val="es-ES" w:eastAsia="es-ES"/>
        </w:rPr>
        <w:t xml:space="preserve"> </w:t>
      </w:r>
      <w:r w:rsidR="008933F6">
        <w:rPr>
          <w:lang w:val="es-ES" w:eastAsia="es-ES"/>
        </w:rPr>
        <w:t>y manifestadas en su recurso</w:t>
      </w:r>
      <w:r w:rsidR="00CA67F1">
        <w:rPr>
          <w:lang w:val="es-ES" w:eastAsia="es-ES"/>
        </w:rPr>
        <w:t>,</w:t>
      </w:r>
      <w:r w:rsidR="00380062">
        <w:rPr>
          <w:lang w:val="es-ES" w:eastAsia="es-ES"/>
        </w:rPr>
        <w:t xml:space="preserve"> </w:t>
      </w:r>
      <w:r w:rsidR="0084630C">
        <w:rPr>
          <w:lang w:val="es-ES" w:eastAsia="es-ES"/>
        </w:rPr>
        <w:t xml:space="preserve">se precisa que </w:t>
      </w:r>
      <w:r w:rsidR="00380062">
        <w:rPr>
          <w:lang w:val="es-ES" w:eastAsia="es-ES"/>
        </w:rPr>
        <w:t>l</w:t>
      </w:r>
      <w:r w:rsidR="007E61F2">
        <w:rPr>
          <w:lang w:val="es-ES" w:eastAsia="es-ES"/>
        </w:rPr>
        <w:t xml:space="preserve">as consideraciones y sustentos de decisión sobre la </w:t>
      </w:r>
      <w:r w:rsidR="00A568F5">
        <w:rPr>
          <w:lang w:val="es-ES" w:eastAsia="es-ES"/>
        </w:rPr>
        <w:t>i</w:t>
      </w:r>
      <w:r w:rsidR="007E61F2" w:rsidRPr="007E61F2">
        <w:rPr>
          <w:lang w:val="es-ES" w:eastAsia="es-ES"/>
        </w:rPr>
        <w:t xml:space="preserve">nclusión en cargos de activos repuestos por TGI ramales </w:t>
      </w:r>
      <w:proofErr w:type="spellStart"/>
      <w:r w:rsidR="007E61F2" w:rsidRPr="007E61F2">
        <w:rPr>
          <w:lang w:val="es-ES" w:eastAsia="es-ES"/>
        </w:rPr>
        <w:t>Yarigüíes</w:t>
      </w:r>
      <w:proofErr w:type="spellEnd"/>
      <w:r w:rsidR="007E61F2" w:rsidRPr="007E61F2">
        <w:rPr>
          <w:lang w:val="es-ES" w:eastAsia="es-ES"/>
        </w:rPr>
        <w:t xml:space="preserve"> – Puerto Wilches, Zona Industrial Cantagallo – Cantagallo, Cantagallo – San Pablo y Pompeya</w:t>
      </w:r>
      <w:r w:rsidR="00BD0591">
        <w:rPr>
          <w:lang w:val="es-ES" w:eastAsia="es-ES"/>
        </w:rPr>
        <w:t xml:space="preserve">, están descritos </w:t>
      </w:r>
      <w:r w:rsidR="00BE78D4">
        <w:rPr>
          <w:lang w:val="es-ES" w:eastAsia="es-ES"/>
        </w:rPr>
        <w:t>en los considerandos de la</w:t>
      </w:r>
      <w:r w:rsidR="00372E5E">
        <w:rPr>
          <w:lang w:val="es-ES" w:eastAsia="es-ES"/>
        </w:rPr>
        <w:t xml:space="preserve"> resolución</w:t>
      </w:r>
      <w:r w:rsidR="00266981">
        <w:rPr>
          <w:lang w:val="es-ES" w:eastAsia="es-ES"/>
        </w:rPr>
        <w:t>,</w:t>
      </w:r>
      <w:r w:rsidR="007F4574">
        <w:rPr>
          <w:lang w:val="es-ES" w:eastAsia="es-ES"/>
        </w:rPr>
        <w:t xml:space="preserve"> y</w:t>
      </w:r>
      <w:r w:rsidR="00372E5E">
        <w:rPr>
          <w:lang w:val="es-ES" w:eastAsia="es-ES"/>
        </w:rPr>
        <w:t xml:space="preserve"> </w:t>
      </w:r>
      <w:r w:rsidR="00B8229E">
        <w:rPr>
          <w:lang w:val="es-ES"/>
        </w:rPr>
        <w:t xml:space="preserve">se entienden incluidos en los cargos de TGI, considerando que mediante radicado </w:t>
      </w:r>
      <w:r w:rsidR="00B8229E">
        <w:rPr>
          <w:rFonts w:eastAsia="Times New Roman" w:cs="Arial"/>
          <w:color w:val="000000" w:themeColor="text1"/>
          <w:spacing w:val="-3"/>
          <w:szCs w:val="24"/>
          <w:lang w:val="es-ES" w:eastAsia="es-ES"/>
        </w:rPr>
        <w:t>E-2020-014442</w:t>
      </w:r>
      <w:r w:rsidR="00DD3645">
        <w:rPr>
          <w:rFonts w:eastAsia="Times New Roman" w:cs="Arial"/>
          <w:color w:val="000000" w:themeColor="text1"/>
          <w:spacing w:val="-3"/>
          <w:szCs w:val="24"/>
          <w:lang w:val="es-ES" w:eastAsia="es-ES"/>
        </w:rPr>
        <w:t>,</w:t>
      </w:r>
      <w:r w:rsidR="00B8229E">
        <w:rPr>
          <w:rFonts w:eastAsia="Times New Roman" w:cs="Arial"/>
          <w:color w:val="000000" w:themeColor="text1"/>
          <w:spacing w:val="-3"/>
          <w:szCs w:val="24"/>
          <w:lang w:val="es-ES" w:eastAsia="es-ES"/>
        </w:rPr>
        <w:t xml:space="preserve"> la SSPD confirmó la entrada en operación. En consecuencia, se proced</w:t>
      </w:r>
      <w:r w:rsidR="007D4219">
        <w:rPr>
          <w:rFonts w:eastAsia="Times New Roman" w:cs="Arial"/>
          <w:color w:val="000000" w:themeColor="text1"/>
          <w:spacing w:val="-3"/>
          <w:szCs w:val="24"/>
          <w:lang w:val="es-ES" w:eastAsia="es-ES"/>
        </w:rPr>
        <w:t>ió</w:t>
      </w:r>
      <w:r w:rsidR="00B8229E">
        <w:rPr>
          <w:rFonts w:eastAsia="Times New Roman" w:cs="Arial"/>
          <w:color w:val="000000" w:themeColor="text1"/>
          <w:spacing w:val="-3"/>
          <w:szCs w:val="24"/>
          <w:lang w:val="es-ES" w:eastAsia="es-ES"/>
        </w:rPr>
        <w:t xml:space="preserve"> a reemplazar los valores VAO por los valores VRAN</w:t>
      </w:r>
      <w:r w:rsidR="007D4219">
        <w:rPr>
          <w:rFonts w:eastAsia="Times New Roman" w:cs="Arial"/>
          <w:color w:val="000000" w:themeColor="text1"/>
          <w:spacing w:val="-3"/>
          <w:szCs w:val="24"/>
          <w:lang w:val="es-ES" w:eastAsia="es-ES"/>
        </w:rPr>
        <w:t xml:space="preserve"> en la ba</w:t>
      </w:r>
      <w:r w:rsidR="00BC2281">
        <w:rPr>
          <w:rFonts w:eastAsia="Times New Roman" w:cs="Arial"/>
          <w:color w:val="000000" w:themeColor="text1"/>
          <w:spacing w:val="-3"/>
          <w:szCs w:val="24"/>
          <w:lang w:val="es-ES" w:eastAsia="es-ES"/>
        </w:rPr>
        <w:t>se</w:t>
      </w:r>
      <w:r w:rsidR="00EA1086">
        <w:rPr>
          <w:rFonts w:eastAsia="Times New Roman" w:cs="Arial"/>
          <w:color w:val="000000" w:themeColor="text1"/>
          <w:spacing w:val="-3"/>
          <w:szCs w:val="24"/>
          <w:lang w:val="es-ES" w:eastAsia="es-ES"/>
        </w:rPr>
        <w:t xml:space="preserve"> tarifaria </w:t>
      </w:r>
      <w:r w:rsidR="00D85251">
        <w:rPr>
          <w:rFonts w:eastAsia="Times New Roman" w:cs="Arial"/>
          <w:color w:val="000000" w:themeColor="text1"/>
          <w:spacing w:val="-3"/>
          <w:szCs w:val="24"/>
          <w:lang w:val="es-ES" w:eastAsia="es-ES"/>
        </w:rPr>
        <w:t>de TGI</w:t>
      </w:r>
      <w:r w:rsidR="00DD3645">
        <w:rPr>
          <w:rFonts w:eastAsia="Times New Roman" w:cs="Arial"/>
          <w:color w:val="000000" w:themeColor="text1"/>
          <w:spacing w:val="-3"/>
          <w:szCs w:val="24"/>
          <w:lang w:val="es-ES" w:eastAsia="es-ES"/>
        </w:rPr>
        <w:t>,</w:t>
      </w:r>
      <w:r w:rsidR="00D85251">
        <w:rPr>
          <w:rFonts w:eastAsia="Times New Roman" w:cs="Arial"/>
          <w:color w:val="000000" w:themeColor="text1"/>
          <w:spacing w:val="-3"/>
          <w:szCs w:val="24"/>
          <w:lang w:val="es-ES" w:eastAsia="es-ES"/>
        </w:rPr>
        <w:t xml:space="preserve"> conforme a lo expuesto en el numeral 2 de los considerandos</w:t>
      </w:r>
      <w:r w:rsidR="00DD3645">
        <w:rPr>
          <w:rFonts w:eastAsia="Times New Roman" w:cs="Arial"/>
          <w:color w:val="000000" w:themeColor="text1"/>
          <w:spacing w:val="-3"/>
          <w:szCs w:val="24"/>
          <w:lang w:val="es-ES" w:eastAsia="es-ES"/>
        </w:rPr>
        <w:t>,</w:t>
      </w:r>
      <w:r w:rsidR="005E79C4">
        <w:rPr>
          <w:rFonts w:eastAsia="Times New Roman" w:cs="Arial"/>
          <w:color w:val="000000" w:themeColor="text1"/>
          <w:spacing w:val="-3"/>
          <w:szCs w:val="24"/>
          <w:lang w:val="es-ES" w:eastAsia="es-ES"/>
        </w:rPr>
        <w:t xml:space="preserve"> e incorporados en la</w:t>
      </w:r>
      <w:r w:rsidR="00E418B7">
        <w:rPr>
          <w:rFonts w:eastAsia="Times New Roman" w:cs="Arial"/>
          <w:color w:val="000000" w:themeColor="text1"/>
          <w:spacing w:val="-3"/>
          <w:szCs w:val="24"/>
          <w:lang w:val="es-ES" w:eastAsia="es-ES"/>
        </w:rPr>
        <w:t xml:space="preserve"> parte resolutiva de la resolución. </w:t>
      </w:r>
    </w:p>
    <w:p w14:paraId="6E1A35EE" w14:textId="77777777" w:rsidR="00E418B7" w:rsidRDefault="00E418B7" w:rsidP="001577A2">
      <w:pPr>
        <w:jc w:val="both"/>
        <w:rPr>
          <w:rFonts w:eastAsia="Times New Roman" w:cs="Arial"/>
          <w:color w:val="000000" w:themeColor="text1"/>
          <w:spacing w:val="-3"/>
          <w:szCs w:val="24"/>
          <w:lang w:val="es-ES" w:eastAsia="es-ES"/>
        </w:rPr>
      </w:pPr>
    </w:p>
    <w:p w14:paraId="0BB92B07" w14:textId="4CD9686B" w:rsidR="00E418B7" w:rsidRDefault="00E418B7" w:rsidP="00CC0784">
      <w:pPr>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De igual forma, en la parte motiva de la resolución</w:t>
      </w:r>
      <w:r w:rsidR="00517DA1">
        <w:rPr>
          <w:rFonts w:eastAsia="Times New Roman" w:cs="Arial"/>
          <w:color w:val="000000" w:themeColor="text1"/>
          <w:spacing w:val="-3"/>
          <w:szCs w:val="24"/>
          <w:lang w:val="es-ES" w:eastAsia="es-ES"/>
        </w:rPr>
        <w:t xml:space="preserve">, en el mismo numeral 2, se da claridad </w:t>
      </w:r>
      <w:r w:rsidR="0094642F">
        <w:rPr>
          <w:rFonts w:eastAsia="Times New Roman" w:cs="Arial"/>
          <w:color w:val="000000" w:themeColor="text1"/>
          <w:spacing w:val="-3"/>
          <w:szCs w:val="24"/>
          <w:lang w:val="es-ES" w:eastAsia="es-ES"/>
        </w:rPr>
        <w:t>sob</w:t>
      </w:r>
      <w:r w:rsidR="00DD3645">
        <w:rPr>
          <w:rFonts w:eastAsia="Times New Roman" w:cs="Arial"/>
          <w:color w:val="000000" w:themeColor="text1"/>
          <w:spacing w:val="-3"/>
          <w:szCs w:val="24"/>
          <w:lang w:val="es-ES" w:eastAsia="es-ES"/>
        </w:rPr>
        <w:t>r</w:t>
      </w:r>
      <w:r w:rsidR="0094642F">
        <w:rPr>
          <w:rFonts w:eastAsia="Times New Roman" w:cs="Arial"/>
          <w:color w:val="000000" w:themeColor="text1"/>
          <w:spacing w:val="-3"/>
          <w:szCs w:val="24"/>
          <w:lang w:val="es-ES" w:eastAsia="es-ES"/>
        </w:rPr>
        <w:t xml:space="preserve">e la decisión adoptada por la Comisión en relación con </w:t>
      </w:r>
      <w:r w:rsidR="00CC0784">
        <w:rPr>
          <w:rFonts w:eastAsia="Times New Roman" w:cs="Arial"/>
          <w:color w:val="000000" w:themeColor="text1"/>
          <w:spacing w:val="-3"/>
          <w:szCs w:val="24"/>
          <w:lang w:val="es-ES" w:eastAsia="es-ES"/>
        </w:rPr>
        <w:t>la</w:t>
      </w:r>
      <w:r w:rsidR="00E20C4E">
        <w:rPr>
          <w:rFonts w:eastAsia="Times New Roman" w:cs="Arial"/>
          <w:color w:val="000000" w:themeColor="text1"/>
          <w:spacing w:val="-3"/>
          <w:szCs w:val="24"/>
          <w:lang w:val="es-ES" w:eastAsia="es-ES"/>
        </w:rPr>
        <w:t xml:space="preserve"> r</w:t>
      </w:r>
      <w:r w:rsidR="00CC0784" w:rsidRPr="00CC0784">
        <w:rPr>
          <w:rFonts w:eastAsia="Times New Roman" w:cs="Arial"/>
          <w:color w:val="000000" w:themeColor="text1"/>
          <w:spacing w:val="-3"/>
          <w:szCs w:val="24"/>
          <w:lang w:val="es-ES" w:eastAsia="es-ES"/>
        </w:rPr>
        <w:t xml:space="preserve">evisión </w:t>
      </w:r>
      <w:r w:rsidR="00DD3645">
        <w:rPr>
          <w:rFonts w:eastAsia="Times New Roman" w:cs="Arial"/>
          <w:color w:val="000000" w:themeColor="text1"/>
          <w:spacing w:val="-3"/>
          <w:szCs w:val="24"/>
          <w:lang w:val="es-ES" w:eastAsia="es-ES"/>
        </w:rPr>
        <w:t>de</w:t>
      </w:r>
      <w:r w:rsidR="00CC0784" w:rsidRPr="00CC0784">
        <w:rPr>
          <w:rFonts w:eastAsia="Times New Roman" w:cs="Arial"/>
          <w:color w:val="000000" w:themeColor="text1"/>
          <w:spacing w:val="-3"/>
          <w:szCs w:val="24"/>
          <w:lang w:val="es-ES" w:eastAsia="es-ES"/>
        </w:rPr>
        <w:t xml:space="preserve"> la solicitud de TGI </w:t>
      </w:r>
      <w:r w:rsidR="00E04637">
        <w:rPr>
          <w:rFonts w:eastAsia="Times New Roman" w:cs="Arial"/>
          <w:color w:val="000000" w:themeColor="text1"/>
          <w:spacing w:val="-3"/>
          <w:szCs w:val="24"/>
          <w:lang w:val="es-ES" w:eastAsia="es-ES"/>
        </w:rPr>
        <w:t>de</w:t>
      </w:r>
      <w:r w:rsidR="00851254">
        <w:rPr>
          <w:rFonts w:eastAsia="Times New Roman" w:cs="Arial"/>
          <w:color w:val="000000" w:themeColor="text1"/>
          <w:spacing w:val="-3"/>
          <w:szCs w:val="24"/>
          <w:lang w:val="es-ES" w:eastAsia="es-ES"/>
        </w:rPr>
        <w:t xml:space="preserve"> modificación por</w:t>
      </w:r>
      <w:r w:rsidR="00E04637">
        <w:rPr>
          <w:rFonts w:eastAsia="Times New Roman" w:cs="Arial"/>
          <w:color w:val="000000" w:themeColor="text1"/>
          <w:spacing w:val="-3"/>
          <w:szCs w:val="24"/>
          <w:lang w:val="es-ES" w:eastAsia="es-ES"/>
        </w:rPr>
        <w:t xml:space="preserve"> </w:t>
      </w:r>
      <w:r w:rsidR="00CC0784" w:rsidRPr="00CC0784">
        <w:rPr>
          <w:rFonts w:eastAsia="Times New Roman" w:cs="Arial"/>
          <w:color w:val="000000" w:themeColor="text1"/>
          <w:spacing w:val="-3"/>
          <w:szCs w:val="24"/>
          <w:lang w:val="es-ES" w:eastAsia="es-ES"/>
        </w:rPr>
        <w:t xml:space="preserve">mutuo acuerdo de los cargos existentes </w:t>
      </w:r>
      <w:r w:rsidR="00CC0784" w:rsidRPr="00CC0784">
        <w:rPr>
          <w:rFonts w:eastAsia="Times New Roman" w:cs="Arial"/>
          <w:color w:val="000000" w:themeColor="text1"/>
          <w:spacing w:val="-3"/>
          <w:szCs w:val="24"/>
          <w:lang w:val="es-ES" w:eastAsia="es-ES"/>
        </w:rPr>
        <w:lastRenderedPageBreak/>
        <w:t xml:space="preserve">para los ramales Florián, Albania, </w:t>
      </w:r>
      <w:proofErr w:type="spellStart"/>
      <w:r w:rsidR="00CC0784" w:rsidRPr="00CC0784">
        <w:rPr>
          <w:rFonts w:eastAsia="Times New Roman" w:cs="Arial"/>
          <w:color w:val="000000" w:themeColor="text1"/>
          <w:spacing w:val="-3"/>
          <w:szCs w:val="24"/>
          <w:lang w:val="es-ES" w:eastAsia="es-ES"/>
        </w:rPr>
        <w:t>Tununguá</w:t>
      </w:r>
      <w:proofErr w:type="spellEnd"/>
      <w:r w:rsidR="00CC0784" w:rsidRPr="00CC0784">
        <w:rPr>
          <w:rFonts w:eastAsia="Times New Roman" w:cs="Arial"/>
          <w:color w:val="000000" w:themeColor="text1"/>
          <w:spacing w:val="-3"/>
          <w:szCs w:val="24"/>
          <w:lang w:val="es-ES" w:eastAsia="es-ES"/>
        </w:rPr>
        <w:t>, Briceño y el tramo remanente de 22” entre la válvula VC 11 B y Sucre Oriental</w:t>
      </w:r>
      <w:r w:rsidR="00647A86">
        <w:rPr>
          <w:rFonts w:eastAsia="Times New Roman" w:cs="Arial"/>
          <w:color w:val="000000" w:themeColor="text1"/>
          <w:spacing w:val="-3"/>
          <w:szCs w:val="24"/>
          <w:lang w:val="es-ES" w:eastAsia="es-ES"/>
        </w:rPr>
        <w:t xml:space="preserve">, en la cual se señala que sobre dicha solicitud, </w:t>
      </w:r>
      <w:r w:rsidR="00CC0784" w:rsidRPr="00CC0784">
        <w:rPr>
          <w:rFonts w:eastAsia="Times New Roman" w:cs="Arial"/>
          <w:color w:val="000000" w:themeColor="text1"/>
          <w:spacing w:val="-3"/>
          <w:szCs w:val="24"/>
          <w:lang w:val="es-ES" w:eastAsia="es-ES"/>
        </w:rPr>
        <w:t>lo que procede es rechazarla acorde a la nota 1) del anexo 1 de la Resolución CREG 099 de 2021</w:t>
      </w:r>
      <w:r w:rsidR="00794F19">
        <w:rPr>
          <w:rFonts w:eastAsia="Times New Roman" w:cs="Arial"/>
          <w:color w:val="000000" w:themeColor="text1"/>
          <w:spacing w:val="-3"/>
          <w:szCs w:val="24"/>
          <w:lang w:val="es-ES" w:eastAsia="es-ES"/>
        </w:rPr>
        <w:t>.</w:t>
      </w:r>
    </w:p>
    <w:p w14:paraId="45AF3945" w14:textId="77777777" w:rsidR="00E418B7" w:rsidRDefault="00E418B7" w:rsidP="001577A2">
      <w:pPr>
        <w:jc w:val="both"/>
        <w:rPr>
          <w:rFonts w:eastAsia="Times New Roman" w:cs="Arial"/>
          <w:color w:val="000000" w:themeColor="text1"/>
          <w:spacing w:val="-3"/>
          <w:szCs w:val="24"/>
          <w:lang w:val="es-ES" w:eastAsia="es-ES"/>
        </w:rPr>
      </w:pPr>
    </w:p>
    <w:p w14:paraId="31763030" w14:textId="4B87A70A" w:rsidR="00E418B7" w:rsidRDefault="00E418B7" w:rsidP="001577A2">
      <w:pPr>
        <w:jc w:val="both"/>
        <w:rPr>
          <w:rFonts w:eastAsia="Times New Roman" w:cs="Arial"/>
          <w:color w:val="000000" w:themeColor="text1"/>
          <w:spacing w:val="-3"/>
          <w:szCs w:val="24"/>
          <w:lang w:val="es-ES" w:eastAsia="es-ES"/>
        </w:rPr>
      </w:pPr>
      <w:r>
        <w:rPr>
          <w:rFonts w:eastAsia="Times New Roman" w:cs="Arial"/>
          <w:color w:val="000000" w:themeColor="text1"/>
          <w:spacing w:val="-3"/>
          <w:szCs w:val="24"/>
          <w:lang w:val="es-ES" w:eastAsia="es-ES"/>
        </w:rPr>
        <w:t xml:space="preserve">En consecuencia, </w:t>
      </w:r>
      <w:r w:rsidR="00794F19">
        <w:rPr>
          <w:rFonts w:eastAsia="Times New Roman" w:cs="Arial"/>
          <w:color w:val="000000" w:themeColor="text1"/>
          <w:spacing w:val="-3"/>
          <w:szCs w:val="24"/>
          <w:lang w:val="es-ES" w:eastAsia="es-ES"/>
        </w:rPr>
        <w:t>la Comisión no procede</w:t>
      </w:r>
      <w:r w:rsidR="00CE4FD3">
        <w:rPr>
          <w:rFonts w:eastAsia="Times New Roman" w:cs="Arial"/>
          <w:color w:val="000000" w:themeColor="text1"/>
          <w:spacing w:val="-3"/>
          <w:szCs w:val="24"/>
          <w:lang w:val="es-ES" w:eastAsia="es-ES"/>
        </w:rPr>
        <w:t>rá</w:t>
      </w:r>
      <w:r w:rsidR="00794F19">
        <w:rPr>
          <w:rFonts w:eastAsia="Times New Roman" w:cs="Arial"/>
          <w:color w:val="000000" w:themeColor="text1"/>
          <w:spacing w:val="-3"/>
          <w:szCs w:val="24"/>
          <w:lang w:val="es-ES" w:eastAsia="es-ES"/>
        </w:rPr>
        <w:t xml:space="preserve"> a modificar la parte resolutiva de</w:t>
      </w:r>
      <w:r w:rsidR="00EC2081">
        <w:rPr>
          <w:rFonts w:eastAsia="Times New Roman" w:cs="Arial"/>
          <w:color w:val="000000" w:themeColor="text1"/>
          <w:spacing w:val="-3"/>
          <w:szCs w:val="24"/>
          <w:lang w:val="es-ES" w:eastAsia="es-ES"/>
        </w:rPr>
        <w:t xml:space="preserve"> la decisión recurrida por lo anteriormente expuesto</w:t>
      </w:r>
      <w:r w:rsidR="00DD3645">
        <w:rPr>
          <w:rFonts w:eastAsia="Times New Roman" w:cs="Arial"/>
          <w:color w:val="000000" w:themeColor="text1"/>
          <w:spacing w:val="-3"/>
          <w:szCs w:val="24"/>
          <w:lang w:val="es-ES" w:eastAsia="es-ES"/>
        </w:rPr>
        <w:t>,</w:t>
      </w:r>
      <w:r w:rsidR="00EC2081">
        <w:rPr>
          <w:rFonts w:eastAsia="Times New Roman" w:cs="Arial"/>
          <w:color w:val="000000" w:themeColor="text1"/>
          <w:spacing w:val="-3"/>
          <w:szCs w:val="24"/>
          <w:lang w:val="es-ES" w:eastAsia="es-ES"/>
        </w:rPr>
        <w:t xml:space="preserve"> y confirma la decisión en lo consecuente</w:t>
      </w:r>
      <w:r w:rsidR="005B1D88">
        <w:rPr>
          <w:rFonts w:eastAsia="Times New Roman" w:cs="Arial"/>
          <w:color w:val="000000" w:themeColor="text1"/>
          <w:spacing w:val="-3"/>
          <w:szCs w:val="24"/>
          <w:lang w:val="es-ES" w:eastAsia="es-ES"/>
        </w:rPr>
        <w:t>,</w:t>
      </w:r>
      <w:r w:rsidR="00EC2081">
        <w:rPr>
          <w:rFonts w:eastAsia="Times New Roman" w:cs="Arial"/>
          <w:color w:val="000000" w:themeColor="text1"/>
          <w:spacing w:val="-3"/>
          <w:szCs w:val="24"/>
          <w:lang w:val="es-ES" w:eastAsia="es-ES"/>
        </w:rPr>
        <w:t xml:space="preserve"> respecto de los puntos evidenciados y manifestados por la empresa </w:t>
      </w:r>
      <w:proofErr w:type="spellStart"/>
      <w:r w:rsidR="00EC2081">
        <w:rPr>
          <w:rFonts w:eastAsia="Times New Roman" w:cs="Arial"/>
          <w:color w:val="000000" w:themeColor="text1"/>
          <w:spacing w:val="-3"/>
          <w:szCs w:val="24"/>
          <w:lang w:val="es-ES" w:eastAsia="es-ES"/>
        </w:rPr>
        <w:t>Vanti</w:t>
      </w:r>
      <w:proofErr w:type="spellEnd"/>
      <w:r w:rsidR="00EC2081">
        <w:rPr>
          <w:rFonts w:eastAsia="Times New Roman" w:cs="Arial"/>
          <w:color w:val="000000" w:themeColor="text1"/>
          <w:spacing w:val="-3"/>
          <w:szCs w:val="24"/>
          <w:lang w:val="es-ES" w:eastAsia="es-ES"/>
        </w:rPr>
        <w:t xml:space="preserve"> </w:t>
      </w:r>
      <w:r w:rsidR="005B1D88">
        <w:rPr>
          <w:rFonts w:eastAsia="Times New Roman" w:cs="Arial"/>
          <w:color w:val="000000" w:themeColor="text1"/>
          <w:spacing w:val="-3"/>
          <w:szCs w:val="24"/>
          <w:lang w:val="es-ES" w:eastAsia="es-ES"/>
        </w:rPr>
        <w:t xml:space="preserve">en su recurso. </w:t>
      </w:r>
    </w:p>
    <w:p w14:paraId="0886A244" w14:textId="746067AC" w:rsidR="004B7C43" w:rsidRDefault="00BC2281" w:rsidP="001577A2">
      <w:pPr>
        <w:jc w:val="both"/>
        <w:rPr>
          <w:lang w:val="es-ES" w:eastAsia="es-ES"/>
        </w:rPr>
      </w:pPr>
      <w:r>
        <w:rPr>
          <w:rFonts w:eastAsia="Times New Roman" w:cs="Arial"/>
          <w:color w:val="000000" w:themeColor="text1"/>
          <w:spacing w:val="-3"/>
          <w:szCs w:val="24"/>
          <w:lang w:val="es-ES" w:eastAsia="es-ES"/>
        </w:rPr>
        <w:t xml:space="preserve"> </w:t>
      </w:r>
    </w:p>
    <w:p w14:paraId="54EF317C" w14:textId="2E200021" w:rsidR="00CE4799" w:rsidRDefault="00CE4FD3" w:rsidP="00AC7D78">
      <w:pPr>
        <w:pStyle w:val="Tit1"/>
        <w:numPr>
          <w:ilvl w:val="3"/>
          <w:numId w:val="7"/>
        </w:numPr>
        <w:ind w:left="0" w:firstLine="0"/>
        <w:jc w:val="both"/>
        <w:rPr>
          <w:lang w:val="es-ES"/>
        </w:rPr>
      </w:pPr>
      <w:r>
        <w:rPr>
          <w:lang w:val="es-ES"/>
        </w:rPr>
        <w:t>C</w:t>
      </w:r>
      <w:r w:rsidR="005012EA">
        <w:rPr>
          <w:lang w:val="es-ES"/>
        </w:rPr>
        <w:t xml:space="preserve">onsideraciones frente a la solicitud de </w:t>
      </w:r>
      <w:proofErr w:type="spellStart"/>
      <w:r w:rsidR="005012EA">
        <w:rPr>
          <w:lang w:val="es-ES"/>
        </w:rPr>
        <w:t>Vanti</w:t>
      </w:r>
      <w:proofErr w:type="spellEnd"/>
      <w:r w:rsidR="00EA0DC4">
        <w:rPr>
          <w:lang w:val="es-ES"/>
        </w:rPr>
        <w:t xml:space="preserve"> de mo</w:t>
      </w:r>
      <w:r w:rsidR="00D620D8">
        <w:rPr>
          <w:lang w:val="es-ES"/>
        </w:rPr>
        <w:t xml:space="preserve">dificación de la Resolución CREG 175 de 2021 </w:t>
      </w:r>
      <w:r w:rsidR="00EA0DC4">
        <w:rPr>
          <w:lang w:val="es-ES"/>
        </w:rPr>
        <w:t>por error grave y lesión injusta de los usuarios confo</w:t>
      </w:r>
      <w:r w:rsidR="00D620D8">
        <w:rPr>
          <w:lang w:val="es-ES"/>
        </w:rPr>
        <w:t>rme al artículo 126 de la Ley 142 de 1994</w:t>
      </w:r>
      <w:r w:rsidR="00DD3645">
        <w:rPr>
          <w:lang w:val="es-ES"/>
        </w:rPr>
        <w:t>,</w:t>
      </w:r>
      <w:r w:rsidR="003D15CD">
        <w:rPr>
          <w:lang w:val="es-ES"/>
        </w:rPr>
        <w:t xml:space="preserve"> y su</w:t>
      </w:r>
      <w:r w:rsidR="007467C9">
        <w:rPr>
          <w:lang w:val="es-ES"/>
        </w:rPr>
        <w:t xml:space="preserve"> presunta conexidad con la decisión recurrida de la Resolución </w:t>
      </w:r>
      <w:r w:rsidR="003A206E">
        <w:rPr>
          <w:lang w:val="es-ES"/>
        </w:rPr>
        <w:t>CREG 502 024 de 2022.</w:t>
      </w:r>
    </w:p>
    <w:p w14:paraId="4656C2F2" w14:textId="77777777" w:rsidR="00DA6EDB" w:rsidRPr="00DA6EDB" w:rsidRDefault="00DA6EDB" w:rsidP="00DA6EDB">
      <w:pPr>
        <w:rPr>
          <w:lang w:val="es-ES" w:eastAsia="es-ES"/>
        </w:rPr>
      </w:pPr>
    </w:p>
    <w:p w14:paraId="475D9040" w14:textId="77777777" w:rsidR="00E85789" w:rsidRPr="00F858A4" w:rsidRDefault="00A240C4" w:rsidP="00AC7D78">
      <w:pPr>
        <w:pStyle w:val="Tit1"/>
        <w:numPr>
          <w:ilvl w:val="4"/>
          <w:numId w:val="7"/>
        </w:numPr>
        <w:ind w:left="426" w:firstLine="36"/>
        <w:jc w:val="both"/>
        <w:rPr>
          <w:b w:val="0"/>
          <w:bCs/>
          <w:lang w:val="es-ES"/>
        </w:rPr>
      </w:pPr>
      <w:r w:rsidRPr="00F858A4">
        <w:rPr>
          <w:b w:val="0"/>
          <w:bCs/>
          <w:lang w:val="es-ES"/>
        </w:rPr>
        <w:t>Trámite de las solicitudes</w:t>
      </w:r>
      <w:r w:rsidR="003A206E" w:rsidRPr="00F858A4">
        <w:rPr>
          <w:b w:val="0"/>
          <w:bCs/>
          <w:lang w:val="es-ES"/>
        </w:rPr>
        <w:t xml:space="preserve"> de </w:t>
      </w:r>
      <w:r w:rsidR="00E85789" w:rsidRPr="00F858A4">
        <w:rPr>
          <w:b w:val="0"/>
          <w:bCs/>
          <w:lang w:val="es-ES"/>
        </w:rPr>
        <w:t>modificación de la metodología con fundamento en la Resolución CREG 175 de 2021.</w:t>
      </w:r>
    </w:p>
    <w:p w14:paraId="3D5B8C7A" w14:textId="48282699" w:rsidR="006D532F" w:rsidRDefault="003A206E" w:rsidP="00417854">
      <w:pPr>
        <w:rPr>
          <w:lang w:val="es-ES"/>
        </w:rPr>
      </w:pPr>
      <w:r>
        <w:rPr>
          <w:lang w:val="es-ES"/>
        </w:rPr>
        <w:t xml:space="preserve"> </w:t>
      </w:r>
    </w:p>
    <w:p w14:paraId="10AE7F35" w14:textId="39776D7E" w:rsidR="006D532F" w:rsidRDefault="00C74712" w:rsidP="007650F8">
      <w:pPr>
        <w:jc w:val="both"/>
        <w:rPr>
          <w:lang w:val="es-ES" w:eastAsia="es-ES"/>
        </w:rPr>
      </w:pPr>
      <w:r>
        <w:rPr>
          <w:lang w:val="es-ES" w:eastAsia="es-ES"/>
        </w:rPr>
        <w:t>La Comisión ha recibido diferentes solicitudes de modificación de la Resolución CREG 175 de 2021</w:t>
      </w:r>
      <w:r w:rsidR="00055BD1">
        <w:rPr>
          <w:lang w:val="es-ES" w:eastAsia="es-ES"/>
        </w:rPr>
        <w:t xml:space="preserve"> en el marco de la potestad legal descrita en el artículo 126 de la Ley 142 de 1994</w:t>
      </w:r>
      <w:r w:rsidR="003D17D8">
        <w:rPr>
          <w:lang w:val="es-ES" w:eastAsia="es-ES"/>
        </w:rPr>
        <w:t xml:space="preserve">, tal y como se observa en los considerandos de la Resolución de Consulta CREG 702-009-2022 </w:t>
      </w:r>
      <w:r w:rsidR="000B44B0">
        <w:rPr>
          <w:lang w:val="es-ES" w:eastAsia="es-ES"/>
        </w:rPr>
        <w:t>del 12 de diciembre de 2022</w:t>
      </w:r>
      <w:r w:rsidR="00A80491">
        <w:rPr>
          <w:lang w:val="es-ES" w:eastAsia="es-ES"/>
        </w:rPr>
        <w:t>.</w:t>
      </w:r>
      <w:r w:rsidR="008E7F27">
        <w:rPr>
          <w:lang w:val="es-ES" w:eastAsia="es-ES"/>
        </w:rPr>
        <w:t xml:space="preserve"> </w:t>
      </w:r>
    </w:p>
    <w:p w14:paraId="592C3497" w14:textId="77777777" w:rsidR="008E7F27" w:rsidRDefault="008E7F27" w:rsidP="006D532F">
      <w:pPr>
        <w:rPr>
          <w:lang w:val="es-ES" w:eastAsia="es-ES"/>
        </w:rPr>
      </w:pPr>
    </w:p>
    <w:p w14:paraId="3AE26C44" w14:textId="1CB1AF22" w:rsidR="007D1818" w:rsidRDefault="008E7F27" w:rsidP="00545E34">
      <w:pPr>
        <w:jc w:val="both"/>
        <w:rPr>
          <w:lang w:val="es-ES" w:eastAsia="es-ES"/>
        </w:rPr>
      </w:pPr>
      <w:r>
        <w:rPr>
          <w:lang w:val="es-ES" w:eastAsia="es-ES"/>
        </w:rPr>
        <w:t>En el marco de</w:t>
      </w:r>
      <w:r w:rsidR="00DD3645">
        <w:rPr>
          <w:lang w:val="es-ES" w:eastAsia="es-ES"/>
        </w:rPr>
        <w:t>l</w:t>
      </w:r>
      <w:r>
        <w:rPr>
          <w:lang w:val="es-ES" w:eastAsia="es-ES"/>
        </w:rPr>
        <w:t xml:space="preserve"> análisis</w:t>
      </w:r>
      <w:r w:rsidR="003F62B3">
        <w:rPr>
          <w:lang w:val="es-ES" w:eastAsia="es-ES"/>
        </w:rPr>
        <w:t xml:space="preserve"> sobre dicha</w:t>
      </w:r>
      <w:r w:rsidR="002141DF">
        <w:rPr>
          <w:lang w:val="es-ES" w:eastAsia="es-ES"/>
        </w:rPr>
        <w:t>s</w:t>
      </w:r>
      <w:r w:rsidR="00F120FF">
        <w:rPr>
          <w:lang w:val="es-ES" w:eastAsia="es-ES"/>
        </w:rPr>
        <w:t xml:space="preserve"> </w:t>
      </w:r>
      <w:r w:rsidR="003F62B3">
        <w:rPr>
          <w:lang w:val="es-ES" w:eastAsia="es-ES"/>
        </w:rPr>
        <w:t xml:space="preserve">solicitudes, </w:t>
      </w:r>
      <w:r w:rsidR="002B5C5B">
        <w:rPr>
          <w:lang w:val="es-ES" w:eastAsia="es-ES"/>
        </w:rPr>
        <w:t>la</w:t>
      </w:r>
      <w:r w:rsidR="00C85788">
        <w:rPr>
          <w:lang w:val="es-ES" w:eastAsia="es-ES"/>
        </w:rPr>
        <w:t>s</w:t>
      </w:r>
      <w:r w:rsidR="002B5C5B">
        <w:rPr>
          <w:lang w:val="es-ES" w:eastAsia="es-ES"/>
        </w:rPr>
        <w:t xml:space="preserve"> cual</w:t>
      </w:r>
      <w:r w:rsidR="00C85788">
        <w:rPr>
          <w:lang w:val="es-ES" w:eastAsia="es-ES"/>
        </w:rPr>
        <w:t>es</w:t>
      </w:r>
      <w:r w:rsidR="002B5C5B">
        <w:rPr>
          <w:lang w:val="es-ES" w:eastAsia="es-ES"/>
        </w:rPr>
        <w:t xml:space="preserve"> </w:t>
      </w:r>
      <w:r w:rsidR="00F904EF">
        <w:rPr>
          <w:lang w:val="es-ES" w:eastAsia="es-ES"/>
        </w:rPr>
        <w:t>se enmarcan en el</w:t>
      </w:r>
      <w:r w:rsidR="00C85788">
        <w:rPr>
          <w:lang w:val="es-ES" w:eastAsia="es-ES"/>
        </w:rPr>
        <w:t xml:space="preserve"> procedimiento de</w:t>
      </w:r>
      <w:r w:rsidR="002B5C5B">
        <w:rPr>
          <w:lang w:val="es-ES" w:eastAsia="es-ES"/>
        </w:rPr>
        <w:t xml:space="preserve"> una actuación de carácter general</w:t>
      </w:r>
      <w:r w:rsidR="00F904EF">
        <w:rPr>
          <w:lang w:val="es-ES" w:eastAsia="es-ES"/>
        </w:rPr>
        <w:t>,</w:t>
      </w:r>
      <w:r w:rsidR="002B5C5B">
        <w:rPr>
          <w:lang w:val="es-ES" w:eastAsia="es-ES"/>
        </w:rPr>
        <w:t xml:space="preserve"> </w:t>
      </w:r>
      <w:r w:rsidR="00DA6EDB">
        <w:rPr>
          <w:lang w:val="es-ES" w:eastAsia="es-ES"/>
        </w:rPr>
        <w:t xml:space="preserve">con el objetivo de revisar un acto de las mismas características, </w:t>
      </w:r>
      <w:r w:rsidR="00857658">
        <w:rPr>
          <w:lang w:val="es-ES" w:eastAsia="es-ES"/>
        </w:rPr>
        <w:t xml:space="preserve">la Comisión ha adelantado análisis interno y reuniones con las empresas que lo solicitan, con el fin de </w:t>
      </w:r>
      <w:r w:rsidR="00545E34">
        <w:rPr>
          <w:lang w:val="es-ES" w:eastAsia="es-ES"/>
        </w:rPr>
        <w:t xml:space="preserve">conocer y entender el sustento de sus peticiones. </w:t>
      </w:r>
    </w:p>
    <w:p w14:paraId="633DA606" w14:textId="77777777" w:rsidR="007D1818" w:rsidRDefault="007D1818" w:rsidP="00545E34">
      <w:pPr>
        <w:jc w:val="both"/>
        <w:rPr>
          <w:lang w:val="es-ES" w:eastAsia="es-ES"/>
        </w:rPr>
      </w:pPr>
    </w:p>
    <w:p w14:paraId="4C0317AE" w14:textId="67986738" w:rsidR="008E7F27" w:rsidRPr="006D532F" w:rsidRDefault="00847EC8" w:rsidP="00545E34">
      <w:pPr>
        <w:jc w:val="both"/>
        <w:rPr>
          <w:lang w:val="es-ES" w:eastAsia="es-ES"/>
        </w:rPr>
      </w:pPr>
      <w:r>
        <w:rPr>
          <w:lang w:val="es-ES" w:eastAsia="es-ES"/>
        </w:rPr>
        <w:t>Entre la</w:t>
      </w:r>
      <w:r w:rsidR="001832B0">
        <w:rPr>
          <w:lang w:val="es-ES" w:eastAsia="es-ES"/>
        </w:rPr>
        <w:t xml:space="preserve">s empresas </w:t>
      </w:r>
      <w:r w:rsidR="00F904EF">
        <w:rPr>
          <w:lang w:val="es-ES" w:eastAsia="es-ES"/>
        </w:rPr>
        <w:t>escuchada</w:t>
      </w:r>
      <w:r w:rsidR="00DD3645">
        <w:rPr>
          <w:lang w:val="es-ES" w:eastAsia="es-ES"/>
        </w:rPr>
        <w:t>s</w:t>
      </w:r>
      <w:r w:rsidR="00F904EF">
        <w:rPr>
          <w:lang w:val="es-ES" w:eastAsia="es-ES"/>
        </w:rPr>
        <w:t xml:space="preserve"> en audiencia del</w:t>
      </w:r>
      <w:r w:rsidR="001832B0">
        <w:rPr>
          <w:lang w:val="es-ES" w:eastAsia="es-ES"/>
        </w:rPr>
        <w:t xml:space="preserve"> Comité de Expertos</w:t>
      </w:r>
      <w:r w:rsidR="00990FC1">
        <w:rPr>
          <w:lang w:val="es-ES" w:eastAsia="es-ES"/>
        </w:rPr>
        <w:t xml:space="preserve"> de la CREG</w:t>
      </w:r>
      <w:r w:rsidR="001832B0">
        <w:rPr>
          <w:lang w:val="es-ES" w:eastAsia="es-ES"/>
        </w:rPr>
        <w:t>, es</w:t>
      </w:r>
      <w:r w:rsidR="00F904EF">
        <w:rPr>
          <w:lang w:val="es-ES" w:eastAsia="es-ES"/>
        </w:rPr>
        <w:t xml:space="preserve">tá </w:t>
      </w:r>
      <w:r w:rsidR="001832B0">
        <w:rPr>
          <w:lang w:val="es-ES" w:eastAsia="es-ES"/>
        </w:rPr>
        <w:t xml:space="preserve">la empresa </w:t>
      </w:r>
      <w:proofErr w:type="spellStart"/>
      <w:r w:rsidR="001832B0">
        <w:rPr>
          <w:lang w:val="es-ES" w:eastAsia="es-ES"/>
        </w:rPr>
        <w:t>Vanti</w:t>
      </w:r>
      <w:proofErr w:type="spellEnd"/>
      <w:r w:rsidR="001832B0">
        <w:rPr>
          <w:lang w:val="es-ES" w:eastAsia="es-ES"/>
        </w:rPr>
        <w:t xml:space="preserve">, </w:t>
      </w:r>
      <w:r w:rsidR="00F904EF">
        <w:rPr>
          <w:lang w:val="es-ES" w:eastAsia="es-ES"/>
        </w:rPr>
        <w:t xml:space="preserve">cuyos representantes expusieron </w:t>
      </w:r>
      <w:r w:rsidR="002141DF">
        <w:rPr>
          <w:lang w:val="es-ES" w:eastAsia="es-ES"/>
        </w:rPr>
        <w:t xml:space="preserve">el día </w:t>
      </w:r>
      <w:r w:rsidR="00EC37B2">
        <w:rPr>
          <w:lang w:val="es-ES" w:eastAsia="es-ES"/>
        </w:rPr>
        <w:t xml:space="preserve">22 de septiembre de 2022 </w:t>
      </w:r>
      <w:r w:rsidR="00F904EF">
        <w:rPr>
          <w:lang w:val="es-ES" w:eastAsia="es-ES"/>
        </w:rPr>
        <w:t xml:space="preserve">los </w:t>
      </w:r>
      <w:r w:rsidR="00EC37B2">
        <w:rPr>
          <w:lang w:val="es-ES" w:eastAsia="es-ES"/>
        </w:rPr>
        <w:t xml:space="preserve">argumentos </w:t>
      </w:r>
      <w:r w:rsidR="00DA3AA9">
        <w:rPr>
          <w:lang w:val="es-ES" w:eastAsia="es-ES"/>
        </w:rPr>
        <w:t>de su</w:t>
      </w:r>
      <w:r w:rsidR="00EC37B2">
        <w:rPr>
          <w:lang w:val="es-ES" w:eastAsia="es-ES"/>
        </w:rPr>
        <w:t xml:space="preserve"> solicitud</w:t>
      </w:r>
      <w:r w:rsidR="00990FC1">
        <w:rPr>
          <w:lang w:val="es-ES" w:eastAsia="es-ES"/>
        </w:rPr>
        <w:t xml:space="preserve"> con radicado E-</w:t>
      </w:r>
      <w:r w:rsidR="002B58F9">
        <w:rPr>
          <w:lang w:val="es-ES" w:eastAsia="es-ES"/>
        </w:rPr>
        <w:t>2022-00</w:t>
      </w:r>
      <w:r w:rsidR="00365CB4">
        <w:rPr>
          <w:lang w:val="es-ES" w:eastAsia="es-ES"/>
        </w:rPr>
        <w:t>5045</w:t>
      </w:r>
      <w:r w:rsidR="00EC37B2">
        <w:rPr>
          <w:lang w:val="es-ES" w:eastAsia="es-ES"/>
        </w:rPr>
        <w:t xml:space="preserve">. </w:t>
      </w:r>
    </w:p>
    <w:p w14:paraId="5763840C" w14:textId="77777777" w:rsidR="00F0127C" w:rsidRDefault="00F0127C" w:rsidP="00F0127C">
      <w:pPr>
        <w:rPr>
          <w:lang w:val="es-ES" w:eastAsia="es-ES"/>
        </w:rPr>
      </w:pPr>
    </w:p>
    <w:p w14:paraId="10980FD6" w14:textId="05B162C0" w:rsidR="00545E34" w:rsidRDefault="00545E34" w:rsidP="00F120FF">
      <w:pPr>
        <w:jc w:val="both"/>
      </w:pPr>
      <w:r>
        <w:rPr>
          <w:lang w:val="es-ES" w:eastAsia="es-ES"/>
        </w:rPr>
        <w:t xml:space="preserve">Como es procedente, la solicitud </w:t>
      </w:r>
      <w:r w:rsidR="00E05381">
        <w:rPr>
          <w:lang w:val="es-ES" w:eastAsia="es-ES"/>
        </w:rPr>
        <w:t xml:space="preserve">de </w:t>
      </w:r>
      <w:proofErr w:type="spellStart"/>
      <w:r w:rsidR="00E05381">
        <w:rPr>
          <w:lang w:val="es-ES" w:eastAsia="es-ES"/>
        </w:rPr>
        <w:t>Vanti</w:t>
      </w:r>
      <w:proofErr w:type="spellEnd"/>
      <w:r w:rsidR="00E05381">
        <w:rPr>
          <w:lang w:val="es-ES" w:eastAsia="es-ES"/>
        </w:rPr>
        <w:t>, al igual que las otras, está en proceso de análisis</w:t>
      </w:r>
      <w:r w:rsidR="00C2770C">
        <w:rPr>
          <w:lang w:val="es-ES" w:eastAsia="es-ES"/>
        </w:rPr>
        <w:t xml:space="preserve"> y consulta mediante Resolución CREG 702-009-2022 de</w:t>
      </w:r>
      <w:r w:rsidR="003E2252">
        <w:rPr>
          <w:lang w:val="es-ES" w:eastAsia="es-ES"/>
        </w:rPr>
        <w:t>l 12 de diciembre de 2022</w:t>
      </w:r>
      <w:r w:rsidR="00DD3645">
        <w:rPr>
          <w:lang w:val="es-ES" w:eastAsia="es-ES"/>
        </w:rPr>
        <w:t>,</w:t>
      </w:r>
      <w:r w:rsidR="00E05381">
        <w:rPr>
          <w:lang w:val="es-ES" w:eastAsia="es-ES"/>
        </w:rPr>
        <w:t xml:space="preserve"> y </w:t>
      </w:r>
      <w:r w:rsidR="008475C2">
        <w:rPr>
          <w:lang w:val="es-ES" w:eastAsia="es-ES"/>
        </w:rPr>
        <w:t xml:space="preserve">cualquier decisión seguirá el procedimiento </w:t>
      </w:r>
      <w:r w:rsidR="008A04B4">
        <w:rPr>
          <w:lang w:val="es-ES" w:eastAsia="es-ES"/>
        </w:rPr>
        <w:t>establecido</w:t>
      </w:r>
      <w:r w:rsidR="008475C2">
        <w:rPr>
          <w:lang w:val="es-ES" w:eastAsia="es-ES"/>
        </w:rPr>
        <w:t xml:space="preserve"> para </w:t>
      </w:r>
      <w:r w:rsidR="0043227B" w:rsidRPr="0043227B">
        <w:rPr>
          <w:lang w:eastAsia="es-ES"/>
        </w:rPr>
        <w:t xml:space="preserve">la regulación de carácter general, </w:t>
      </w:r>
      <w:r w:rsidR="0036187E">
        <w:rPr>
          <w:lang w:eastAsia="es-ES"/>
        </w:rPr>
        <w:t>considerando para su expedición</w:t>
      </w:r>
      <w:r w:rsidR="0043227B" w:rsidRPr="0043227B">
        <w:rPr>
          <w:lang w:eastAsia="es-ES"/>
        </w:rPr>
        <w:t xml:space="preserve"> el cumplimiento de</w:t>
      </w:r>
      <w:r w:rsidR="002A0B56">
        <w:rPr>
          <w:lang w:eastAsia="es-ES"/>
        </w:rPr>
        <w:t xml:space="preserve"> </w:t>
      </w:r>
      <w:r w:rsidR="0043227B" w:rsidRPr="0043227B">
        <w:rPr>
          <w:lang w:eastAsia="es-ES"/>
        </w:rPr>
        <w:t>l</w:t>
      </w:r>
      <w:r w:rsidR="002A0B56">
        <w:rPr>
          <w:lang w:eastAsia="es-ES"/>
        </w:rPr>
        <w:t>as etapas</w:t>
      </w:r>
      <w:r w:rsidR="0043227B" w:rsidRPr="0043227B">
        <w:rPr>
          <w:lang w:eastAsia="es-ES"/>
        </w:rPr>
        <w:t xml:space="preserve"> de consulta y participación ciudadana, en el marco de la normativa descrita el numeral 8 del artículo 8 de la Ley 1437 de 2011,</w:t>
      </w:r>
      <w:r w:rsidR="00D16743">
        <w:rPr>
          <w:lang w:eastAsia="es-ES"/>
        </w:rPr>
        <w:t xml:space="preserve"> </w:t>
      </w:r>
      <w:r w:rsidR="00D16743">
        <w:t>las disposiciones del Decreto 2696 de 2004 recogidas en el decreto único 1075 de 2015, y la Resolución CREG 039 de 2017 (reglamento de la CREG).</w:t>
      </w:r>
    </w:p>
    <w:p w14:paraId="7F5BF984" w14:textId="77777777" w:rsidR="00F120FF" w:rsidRDefault="00F120FF" w:rsidP="00F120FF">
      <w:pPr>
        <w:jc w:val="both"/>
      </w:pPr>
    </w:p>
    <w:p w14:paraId="1E91A406" w14:textId="208B5B73" w:rsidR="00F120FF" w:rsidRDefault="004F2C96" w:rsidP="004248B5">
      <w:pPr>
        <w:pStyle w:val="Tit1"/>
        <w:numPr>
          <w:ilvl w:val="4"/>
          <w:numId w:val="7"/>
        </w:numPr>
        <w:ind w:left="426" w:firstLine="36"/>
        <w:jc w:val="both"/>
        <w:rPr>
          <w:b w:val="0"/>
          <w:bCs/>
          <w:lang w:val="es-ES"/>
        </w:rPr>
      </w:pPr>
      <w:r>
        <w:rPr>
          <w:b w:val="0"/>
          <w:bCs/>
          <w:lang w:val="es-ES"/>
        </w:rPr>
        <w:t>Consideraciones frente a los argumentos de violación al derecho de petición</w:t>
      </w:r>
      <w:r w:rsidR="007E2FD1">
        <w:rPr>
          <w:b w:val="0"/>
          <w:bCs/>
          <w:lang w:val="es-ES"/>
        </w:rPr>
        <w:t xml:space="preserve"> y</w:t>
      </w:r>
      <w:r>
        <w:rPr>
          <w:b w:val="0"/>
          <w:bCs/>
          <w:lang w:val="es-ES"/>
        </w:rPr>
        <w:t xml:space="preserve"> debido proceso</w:t>
      </w:r>
      <w:r w:rsidR="007E2FD1">
        <w:rPr>
          <w:b w:val="0"/>
          <w:bCs/>
          <w:lang w:val="es-ES"/>
        </w:rPr>
        <w:t xml:space="preserve"> de la Comisión frente a</w:t>
      </w:r>
      <w:r w:rsidR="004C63AB">
        <w:rPr>
          <w:b w:val="0"/>
          <w:bCs/>
          <w:lang w:val="es-ES"/>
        </w:rPr>
        <w:t xml:space="preserve"> las solicitudes de </w:t>
      </w:r>
      <w:proofErr w:type="spellStart"/>
      <w:r w:rsidR="004C63AB">
        <w:rPr>
          <w:b w:val="0"/>
          <w:bCs/>
          <w:lang w:val="es-ES"/>
        </w:rPr>
        <w:t>Vanti</w:t>
      </w:r>
      <w:proofErr w:type="spellEnd"/>
      <w:r w:rsidR="004C63AB">
        <w:rPr>
          <w:b w:val="0"/>
          <w:bCs/>
          <w:lang w:val="es-ES"/>
        </w:rPr>
        <w:t xml:space="preserve">. </w:t>
      </w:r>
    </w:p>
    <w:p w14:paraId="57C8ACBD" w14:textId="77777777" w:rsidR="00DE2CA5" w:rsidRDefault="00DE2CA5" w:rsidP="004C63AB">
      <w:pPr>
        <w:rPr>
          <w:lang w:val="es-ES" w:eastAsia="es-ES"/>
        </w:rPr>
      </w:pPr>
    </w:p>
    <w:p w14:paraId="778856F0" w14:textId="2BB61AC6" w:rsidR="004C63AB" w:rsidRDefault="004C63AB" w:rsidP="0034472E">
      <w:pPr>
        <w:jc w:val="both"/>
        <w:rPr>
          <w:lang w:val="es-ES" w:eastAsia="es-ES"/>
        </w:rPr>
      </w:pPr>
      <w:r>
        <w:rPr>
          <w:lang w:val="es-ES" w:eastAsia="es-ES"/>
        </w:rPr>
        <w:t xml:space="preserve">Con base en lo descrito en el numeral anterior, la Comisión no ha violado ni ha omitido dar trámite a la solicitud </w:t>
      </w:r>
      <w:r w:rsidR="00A217CE">
        <w:rPr>
          <w:lang w:val="es-ES" w:eastAsia="es-ES"/>
        </w:rPr>
        <w:t xml:space="preserve">presentada por la empresa </w:t>
      </w:r>
      <w:proofErr w:type="spellStart"/>
      <w:r w:rsidR="00A217CE">
        <w:rPr>
          <w:lang w:val="es-ES" w:eastAsia="es-ES"/>
        </w:rPr>
        <w:t>Vanti</w:t>
      </w:r>
      <w:proofErr w:type="spellEnd"/>
      <w:r w:rsidR="005B08D8">
        <w:rPr>
          <w:lang w:val="es-ES" w:eastAsia="es-ES"/>
        </w:rPr>
        <w:t xml:space="preserve">, en el marco </w:t>
      </w:r>
      <w:r w:rsidR="005B08D8">
        <w:rPr>
          <w:lang w:val="es-ES" w:eastAsia="es-ES"/>
        </w:rPr>
        <w:lastRenderedPageBreak/>
        <w:t>de revisión de la metodología descrita en la Resolución CREG 175 de 2021 y</w:t>
      </w:r>
      <w:r w:rsidR="0034472E">
        <w:rPr>
          <w:lang w:val="es-ES" w:eastAsia="es-ES"/>
        </w:rPr>
        <w:t>,</w:t>
      </w:r>
      <w:r w:rsidR="005B08D8">
        <w:rPr>
          <w:lang w:val="es-ES" w:eastAsia="es-ES"/>
        </w:rPr>
        <w:t xml:space="preserve"> por </w:t>
      </w:r>
      <w:r w:rsidR="0034472E">
        <w:rPr>
          <w:lang w:val="es-ES" w:eastAsia="es-ES"/>
        </w:rPr>
        <w:t>tanto</w:t>
      </w:r>
      <w:r w:rsidR="005B08D8">
        <w:rPr>
          <w:lang w:val="es-ES" w:eastAsia="es-ES"/>
        </w:rPr>
        <w:t xml:space="preserve">, no es dable afirmar que </w:t>
      </w:r>
      <w:r w:rsidR="00DE2CA5">
        <w:rPr>
          <w:lang w:val="es-ES" w:eastAsia="es-ES"/>
        </w:rPr>
        <w:t>se ha vulnerado su derecho fundamental al derecho de petición y debido proceso</w:t>
      </w:r>
      <w:r w:rsidR="00530BAC">
        <w:rPr>
          <w:lang w:val="es-ES" w:eastAsia="es-ES"/>
        </w:rPr>
        <w:t>, tal como el recurrente lo hace en su escrito</w:t>
      </w:r>
      <w:r w:rsidR="00DE2CA5">
        <w:rPr>
          <w:lang w:val="es-ES" w:eastAsia="es-ES"/>
        </w:rPr>
        <w:t xml:space="preserve">. </w:t>
      </w:r>
    </w:p>
    <w:p w14:paraId="260DF164" w14:textId="77777777" w:rsidR="00DE2CA5" w:rsidRPr="004C63AB" w:rsidRDefault="00DE2CA5" w:rsidP="004C63AB">
      <w:pPr>
        <w:rPr>
          <w:lang w:val="es-ES" w:eastAsia="es-ES"/>
        </w:rPr>
      </w:pPr>
    </w:p>
    <w:p w14:paraId="1DCB33FE" w14:textId="185EAE32" w:rsidR="00444A82" w:rsidRDefault="00DE2CA5" w:rsidP="00444A82">
      <w:pPr>
        <w:jc w:val="both"/>
        <w:rPr>
          <w:lang w:val="es-ES" w:eastAsia="es-ES"/>
        </w:rPr>
      </w:pPr>
      <w:r>
        <w:rPr>
          <w:lang w:val="es-ES" w:eastAsia="es-ES"/>
        </w:rPr>
        <w:t>La decisión</w:t>
      </w:r>
      <w:r w:rsidR="00DF71D1">
        <w:rPr>
          <w:lang w:val="es-ES" w:eastAsia="es-ES"/>
        </w:rPr>
        <w:t>,</w:t>
      </w:r>
      <w:r>
        <w:rPr>
          <w:lang w:val="es-ES" w:eastAsia="es-ES"/>
        </w:rPr>
        <w:t xml:space="preserve"> </w:t>
      </w:r>
      <w:r w:rsidR="00DF71D1">
        <w:rPr>
          <w:lang w:val="es-ES" w:eastAsia="es-ES"/>
        </w:rPr>
        <w:t>resultado de la revisión de las solicitudes</w:t>
      </w:r>
      <w:r w:rsidR="00CA2DD3">
        <w:rPr>
          <w:lang w:val="es-ES" w:eastAsia="es-ES"/>
        </w:rPr>
        <w:t xml:space="preserve"> con </w:t>
      </w:r>
      <w:r w:rsidR="00F02A3F">
        <w:rPr>
          <w:lang w:val="es-ES" w:eastAsia="es-ES"/>
        </w:rPr>
        <w:t xml:space="preserve">dicha finalidad, no son objeto de respuesta de fondo mediante </w:t>
      </w:r>
      <w:r w:rsidR="00112639">
        <w:rPr>
          <w:lang w:val="es-ES" w:eastAsia="es-ES"/>
        </w:rPr>
        <w:t xml:space="preserve">los tiempos legales definidos para el derecho de petición, sino, como ya se explicó, </w:t>
      </w:r>
      <w:r w:rsidR="0034472E">
        <w:rPr>
          <w:lang w:val="es-ES" w:eastAsia="es-ES"/>
        </w:rPr>
        <w:t>se enmarcan en</w:t>
      </w:r>
      <w:r w:rsidR="00BB61D0">
        <w:rPr>
          <w:lang w:val="es-ES" w:eastAsia="es-ES"/>
        </w:rPr>
        <w:t xml:space="preserve"> </w:t>
      </w:r>
      <w:r w:rsidR="0034472E">
        <w:rPr>
          <w:lang w:val="es-ES" w:eastAsia="es-ES"/>
        </w:rPr>
        <w:t>el</w:t>
      </w:r>
      <w:r w:rsidR="00BB61D0">
        <w:rPr>
          <w:lang w:val="es-ES" w:eastAsia="es-ES"/>
        </w:rPr>
        <w:t xml:space="preserve"> procedimiento de expedición de </w:t>
      </w:r>
      <w:r w:rsidR="0034472E">
        <w:rPr>
          <w:lang w:val="es-ES" w:eastAsia="es-ES"/>
        </w:rPr>
        <w:t xml:space="preserve">la </w:t>
      </w:r>
      <w:r w:rsidR="00BB61D0">
        <w:rPr>
          <w:lang w:val="es-ES" w:eastAsia="es-ES"/>
        </w:rPr>
        <w:t>regulación general</w:t>
      </w:r>
      <w:r w:rsidR="00444A82">
        <w:rPr>
          <w:lang w:val="es-ES" w:eastAsia="es-ES"/>
        </w:rPr>
        <w:t>, cumpliendo con las etapas necesarias para garantizar el derecho de participación de todos los interesados</w:t>
      </w:r>
      <w:r w:rsidR="006E377B">
        <w:rPr>
          <w:lang w:val="es-ES" w:eastAsia="es-ES"/>
        </w:rPr>
        <w:t xml:space="preserve">, las revisiones, análisis y </w:t>
      </w:r>
      <w:r w:rsidR="00573E75">
        <w:rPr>
          <w:lang w:val="es-ES" w:eastAsia="es-ES"/>
        </w:rPr>
        <w:t>procesos de aprobación para este tipo de actos.</w:t>
      </w:r>
    </w:p>
    <w:p w14:paraId="73F5C10F" w14:textId="77777777" w:rsidR="00444A82" w:rsidRDefault="00444A82" w:rsidP="00444A82">
      <w:pPr>
        <w:jc w:val="both"/>
        <w:rPr>
          <w:lang w:val="es-ES" w:eastAsia="es-ES"/>
        </w:rPr>
      </w:pPr>
    </w:p>
    <w:p w14:paraId="2C12B108" w14:textId="4D73D915" w:rsidR="007E3D6E" w:rsidRDefault="00C113B4" w:rsidP="00444A82">
      <w:pPr>
        <w:jc w:val="both"/>
        <w:rPr>
          <w:lang w:val="es-ES" w:eastAsia="es-ES"/>
        </w:rPr>
      </w:pPr>
      <w:r>
        <w:rPr>
          <w:lang w:val="es-ES" w:eastAsia="es-ES"/>
        </w:rPr>
        <w:t xml:space="preserve">En consecuencia, esta Comisión no </w:t>
      </w:r>
      <w:r w:rsidR="00613C15">
        <w:rPr>
          <w:lang w:val="es-ES" w:eastAsia="es-ES"/>
        </w:rPr>
        <w:t xml:space="preserve">revocará ni suspenderá </w:t>
      </w:r>
      <w:r w:rsidR="001B7CE7">
        <w:rPr>
          <w:lang w:val="es-ES" w:eastAsia="es-ES"/>
        </w:rPr>
        <w:t xml:space="preserve">la decisión adoptada mediante la Resolución CREG 502 024 de 2022, toda vez que esta se </w:t>
      </w:r>
      <w:r w:rsidR="00CC2B6A">
        <w:rPr>
          <w:lang w:val="es-ES" w:eastAsia="es-ES"/>
        </w:rPr>
        <w:t>emitió cumpliendo disposiciones legales vigentes</w:t>
      </w:r>
      <w:r w:rsidR="00DD3645">
        <w:rPr>
          <w:lang w:val="es-ES" w:eastAsia="es-ES"/>
        </w:rPr>
        <w:t>,</w:t>
      </w:r>
      <w:r w:rsidR="00CC2B6A">
        <w:rPr>
          <w:lang w:val="es-ES" w:eastAsia="es-ES"/>
        </w:rPr>
        <w:t xml:space="preserve"> y </w:t>
      </w:r>
      <w:r w:rsidR="007748E4">
        <w:rPr>
          <w:lang w:val="es-ES" w:eastAsia="es-ES"/>
        </w:rPr>
        <w:t>bajo los criterios descritos en el numeral 3.2.1.1.1</w:t>
      </w:r>
      <w:r w:rsidR="00CC2B6A">
        <w:rPr>
          <w:lang w:val="es-ES" w:eastAsia="es-ES"/>
        </w:rPr>
        <w:t>.</w:t>
      </w:r>
      <w:r w:rsidR="007748E4">
        <w:rPr>
          <w:lang w:val="es-ES" w:eastAsia="es-ES"/>
        </w:rPr>
        <w:t xml:space="preserve"> de los considerandos de la presente resolución. </w:t>
      </w:r>
    </w:p>
    <w:p w14:paraId="782CCB2C" w14:textId="77777777" w:rsidR="007E3D6E" w:rsidRDefault="007E3D6E" w:rsidP="00444A82">
      <w:pPr>
        <w:jc w:val="both"/>
        <w:rPr>
          <w:lang w:val="es-ES" w:eastAsia="es-ES"/>
        </w:rPr>
      </w:pPr>
    </w:p>
    <w:p w14:paraId="17FDFB55" w14:textId="77777777" w:rsidR="00BB2825" w:rsidRDefault="004D5BD3" w:rsidP="00BB2825">
      <w:pPr>
        <w:pStyle w:val="Tit1"/>
        <w:numPr>
          <w:ilvl w:val="4"/>
          <w:numId w:val="7"/>
        </w:numPr>
        <w:ind w:left="426" w:firstLine="36"/>
        <w:jc w:val="both"/>
        <w:rPr>
          <w:b w:val="0"/>
          <w:bCs/>
          <w:lang w:val="es-ES"/>
        </w:rPr>
      </w:pPr>
      <w:r w:rsidRPr="00BB2825">
        <w:rPr>
          <w:b w:val="0"/>
          <w:bCs/>
          <w:lang w:val="es-ES"/>
        </w:rPr>
        <w:t xml:space="preserve">Consideraciones frente a los argumentos de </w:t>
      </w:r>
      <w:r w:rsidR="00203E4D" w:rsidRPr="00BB2825">
        <w:rPr>
          <w:b w:val="0"/>
          <w:bCs/>
          <w:lang w:val="es-ES"/>
        </w:rPr>
        <w:t>la presunta violación al debido proceso</w:t>
      </w:r>
      <w:r w:rsidR="00BB2825" w:rsidRPr="00BB2825">
        <w:rPr>
          <w:b w:val="0"/>
          <w:bCs/>
          <w:lang w:val="es-ES"/>
        </w:rPr>
        <w:t>, el principio de prejudicialidad e incurrir en una vía de hecho administrativa con la decisión adoptada mediante la Resolución CREG 502 024 de 2022.</w:t>
      </w:r>
    </w:p>
    <w:p w14:paraId="37463C0A" w14:textId="77777777" w:rsidR="00BB2825" w:rsidRDefault="00BB2825" w:rsidP="00417854">
      <w:pPr>
        <w:rPr>
          <w:lang w:val="es-ES"/>
        </w:rPr>
      </w:pPr>
    </w:p>
    <w:p w14:paraId="5938062E" w14:textId="23FB7C1F" w:rsidR="00CC2B6A" w:rsidRDefault="0091124C" w:rsidP="0034472E">
      <w:pPr>
        <w:jc w:val="both"/>
        <w:rPr>
          <w:b/>
          <w:lang w:val="es-ES"/>
        </w:rPr>
      </w:pPr>
      <w:r>
        <w:rPr>
          <w:lang w:val="es-ES"/>
        </w:rPr>
        <w:t xml:space="preserve">Con base en lo explicado </w:t>
      </w:r>
      <w:r w:rsidR="00040745">
        <w:rPr>
          <w:lang w:val="es-ES"/>
        </w:rPr>
        <w:t>anteriormente</w:t>
      </w:r>
      <w:r w:rsidR="008B0D77">
        <w:rPr>
          <w:lang w:val="es-ES"/>
        </w:rPr>
        <w:t xml:space="preserve">, </w:t>
      </w:r>
      <w:r w:rsidR="00164C97">
        <w:rPr>
          <w:lang w:val="es-ES"/>
        </w:rPr>
        <w:t>es procedente señalar que</w:t>
      </w:r>
      <w:r w:rsidR="00DD3645">
        <w:rPr>
          <w:lang w:val="es-ES"/>
        </w:rPr>
        <w:t>,</w:t>
      </w:r>
      <w:r w:rsidR="00164C97">
        <w:rPr>
          <w:lang w:val="es-ES"/>
        </w:rPr>
        <w:t xml:space="preserve"> con la expedición de la presente resolución</w:t>
      </w:r>
      <w:r w:rsidR="00DD3645">
        <w:rPr>
          <w:lang w:val="es-ES"/>
        </w:rPr>
        <w:t>,</w:t>
      </w:r>
      <w:r w:rsidR="00164C97">
        <w:rPr>
          <w:lang w:val="es-ES"/>
        </w:rPr>
        <w:t xml:space="preserve"> tampoco se ha incurrido en una vía de hecho administrativa, toda vez que su decisión se basa en </w:t>
      </w:r>
      <w:r w:rsidR="00A86216">
        <w:rPr>
          <w:lang w:val="es-ES"/>
        </w:rPr>
        <w:t xml:space="preserve">procedimientos descritos en </w:t>
      </w:r>
      <w:r w:rsidR="00164C97">
        <w:rPr>
          <w:lang w:val="es-ES"/>
        </w:rPr>
        <w:t xml:space="preserve">normas vigentes, </w:t>
      </w:r>
      <w:r w:rsidR="00A86216">
        <w:rPr>
          <w:lang w:val="es-ES"/>
        </w:rPr>
        <w:t>objetivos</w:t>
      </w:r>
      <w:r w:rsidR="00DD3645">
        <w:rPr>
          <w:lang w:val="es-ES"/>
        </w:rPr>
        <w:t>,</w:t>
      </w:r>
      <w:r w:rsidR="00A86216">
        <w:rPr>
          <w:lang w:val="es-ES"/>
        </w:rPr>
        <w:t xml:space="preserve"> que gozan del principio de legalidad y que</w:t>
      </w:r>
      <w:r w:rsidR="0034472E">
        <w:rPr>
          <w:lang w:val="es-ES"/>
        </w:rPr>
        <w:t>,</w:t>
      </w:r>
      <w:r w:rsidR="00A86216">
        <w:rPr>
          <w:lang w:val="es-ES"/>
        </w:rPr>
        <w:t xml:space="preserve"> por </w:t>
      </w:r>
      <w:r w:rsidR="0034472E">
        <w:rPr>
          <w:lang w:val="es-ES"/>
        </w:rPr>
        <w:t>tanto</w:t>
      </w:r>
      <w:r w:rsidR="003E07FB">
        <w:rPr>
          <w:lang w:val="es-ES"/>
        </w:rPr>
        <w:t>,</w:t>
      </w:r>
      <w:r w:rsidR="00A86216">
        <w:rPr>
          <w:lang w:val="es-ES"/>
        </w:rPr>
        <w:t xml:space="preserve"> no puede considerarse arbitrari</w:t>
      </w:r>
      <w:r w:rsidR="0034472E">
        <w:rPr>
          <w:lang w:val="es-ES"/>
        </w:rPr>
        <w:t>a</w:t>
      </w:r>
      <w:r w:rsidR="003E07FB">
        <w:rPr>
          <w:lang w:val="es-ES"/>
        </w:rPr>
        <w:t xml:space="preserve"> su aplicación</w:t>
      </w:r>
      <w:r w:rsidR="00A86216">
        <w:rPr>
          <w:lang w:val="es-ES"/>
        </w:rPr>
        <w:t xml:space="preserve"> por parte de</w:t>
      </w:r>
      <w:r w:rsidR="003E07FB">
        <w:rPr>
          <w:lang w:val="es-ES"/>
        </w:rPr>
        <w:t xml:space="preserve"> la Comisión.</w:t>
      </w:r>
    </w:p>
    <w:p w14:paraId="719ECC36" w14:textId="77777777" w:rsidR="003E07FB" w:rsidRDefault="003E07FB" w:rsidP="003E07FB">
      <w:pPr>
        <w:rPr>
          <w:lang w:val="es-ES" w:eastAsia="es-ES"/>
        </w:rPr>
      </w:pPr>
    </w:p>
    <w:p w14:paraId="2FB8DDA7" w14:textId="412F7BD4" w:rsidR="00562F83" w:rsidRDefault="00EE193C" w:rsidP="00612823">
      <w:pPr>
        <w:jc w:val="both"/>
        <w:rPr>
          <w:lang w:val="es-ES" w:eastAsia="es-ES"/>
        </w:rPr>
      </w:pPr>
      <w:r>
        <w:rPr>
          <w:lang w:val="es-ES" w:eastAsia="es-ES"/>
        </w:rPr>
        <w:t xml:space="preserve">La aplicación </w:t>
      </w:r>
      <w:r w:rsidR="00481DCC">
        <w:rPr>
          <w:lang w:val="es-ES" w:eastAsia="es-ES"/>
        </w:rPr>
        <w:t>por parte de la Comisión de la Resoluci</w:t>
      </w:r>
      <w:r w:rsidR="00F67468">
        <w:rPr>
          <w:lang w:val="es-ES" w:eastAsia="es-ES"/>
        </w:rPr>
        <w:t>ón</w:t>
      </w:r>
      <w:r w:rsidR="00481DCC">
        <w:rPr>
          <w:lang w:val="es-ES" w:eastAsia="es-ES"/>
        </w:rPr>
        <w:t xml:space="preserve"> CREG 175 de 2021,</w:t>
      </w:r>
      <w:r w:rsidR="00F67468">
        <w:rPr>
          <w:lang w:val="es-ES" w:eastAsia="es-ES"/>
        </w:rPr>
        <w:t xml:space="preserve"> la cual aplica de manera transitoria</w:t>
      </w:r>
      <w:r w:rsidR="00D056FE">
        <w:rPr>
          <w:lang w:val="es-ES" w:eastAsia="es-ES"/>
        </w:rPr>
        <w:t xml:space="preserve"> la metodología descrita en la Resolución CREG 126 de 2010</w:t>
      </w:r>
      <w:r w:rsidR="00F67468">
        <w:rPr>
          <w:lang w:val="es-ES" w:eastAsia="es-ES"/>
        </w:rPr>
        <w:t xml:space="preserve"> </w:t>
      </w:r>
      <w:r w:rsidR="00714D54">
        <w:rPr>
          <w:lang w:val="es-ES" w:eastAsia="es-ES"/>
        </w:rPr>
        <w:t xml:space="preserve">para dar trámite a las actuaciones </w:t>
      </w:r>
      <w:r w:rsidR="00D056FE">
        <w:rPr>
          <w:lang w:val="es-ES" w:eastAsia="es-ES"/>
        </w:rPr>
        <w:t xml:space="preserve">pendientes de definición, conforme al procedimiento descrito en el artículo 14, </w:t>
      </w:r>
      <w:r w:rsidR="00665E65">
        <w:rPr>
          <w:lang w:val="es-ES" w:eastAsia="es-ES"/>
        </w:rPr>
        <w:t xml:space="preserve">no desconoce </w:t>
      </w:r>
      <w:r w:rsidR="00EE343E">
        <w:rPr>
          <w:lang w:val="es-ES" w:eastAsia="es-ES"/>
        </w:rPr>
        <w:t>ning</w:t>
      </w:r>
      <w:r w:rsidR="00BB789D">
        <w:rPr>
          <w:lang w:val="es-ES" w:eastAsia="es-ES"/>
        </w:rPr>
        <w:t>una norma vigente</w:t>
      </w:r>
      <w:r w:rsidR="003D4E10">
        <w:rPr>
          <w:lang w:val="es-ES" w:eastAsia="es-ES"/>
        </w:rPr>
        <w:t>,</w:t>
      </w:r>
      <w:r w:rsidR="00BB789D">
        <w:rPr>
          <w:lang w:val="es-ES" w:eastAsia="es-ES"/>
        </w:rPr>
        <w:t xml:space="preserve"> ni est</w:t>
      </w:r>
      <w:r w:rsidR="0034472E">
        <w:rPr>
          <w:lang w:val="es-ES" w:eastAsia="es-ES"/>
        </w:rPr>
        <w:t>á</w:t>
      </w:r>
      <w:r w:rsidR="00BB789D">
        <w:rPr>
          <w:lang w:val="es-ES" w:eastAsia="es-ES"/>
        </w:rPr>
        <w:t xml:space="preserve"> supeditada su decisión a</w:t>
      </w:r>
      <w:r w:rsidR="003D4E10">
        <w:rPr>
          <w:lang w:val="es-ES" w:eastAsia="es-ES"/>
        </w:rPr>
        <w:t xml:space="preserve">l análisis y decisión de fondo de </w:t>
      </w:r>
      <w:r w:rsidR="0034472E">
        <w:rPr>
          <w:lang w:val="es-ES" w:eastAsia="es-ES"/>
        </w:rPr>
        <w:t xml:space="preserve">otras </w:t>
      </w:r>
      <w:r w:rsidR="003D4E10">
        <w:rPr>
          <w:lang w:val="es-ES" w:eastAsia="es-ES"/>
        </w:rPr>
        <w:t>actuaciones</w:t>
      </w:r>
      <w:r w:rsidR="00391342">
        <w:rPr>
          <w:lang w:val="es-ES" w:eastAsia="es-ES"/>
        </w:rPr>
        <w:t xml:space="preserve"> que </w:t>
      </w:r>
      <w:r w:rsidR="0034472E">
        <w:rPr>
          <w:lang w:val="es-ES" w:eastAsia="es-ES"/>
        </w:rPr>
        <w:t xml:space="preserve">tramita </w:t>
      </w:r>
      <w:r w:rsidR="00391342">
        <w:rPr>
          <w:lang w:val="es-ES" w:eastAsia="es-ES"/>
        </w:rPr>
        <w:t xml:space="preserve">la Comisión en el marco de otras </w:t>
      </w:r>
      <w:r w:rsidR="00562F83">
        <w:rPr>
          <w:lang w:val="es-ES" w:eastAsia="es-ES"/>
        </w:rPr>
        <w:t>normas y funciones.</w:t>
      </w:r>
    </w:p>
    <w:p w14:paraId="68B42879" w14:textId="77777777" w:rsidR="00562F83" w:rsidRDefault="00562F83" w:rsidP="003E07FB">
      <w:pPr>
        <w:rPr>
          <w:lang w:val="es-ES" w:eastAsia="es-ES"/>
        </w:rPr>
      </w:pPr>
    </w:p>
    <w:p w14:paraId="62BA27E0" w14:textId="6316F4C2" w:rsidR="00EF56D8" w:rsidRDefault="00612823" w:rsidP="000B55E0">
      <w:pPr>
        <w:jc w:val="both"/>
        <w:rPr>
          <w:lang w:val="es-ES" w:eastAsia="es-ES"/>
        </w:rPr>
      </w:pPr>
      <w:r>
        <w:rPr>
          <w:lang w:val="es-ES" w:eastAsia="es-ES"/>
        </w:rPr>
        <w:t>En el mismo sentido, no encuentra esta Comisión procedente el argumento</w:t>
      </w:r>
      <w:r w:rsidR="00634F25">
        <w:rPr>
          <w:lang w:val="es-ES" w:eastAsia="es-ES"/>
        </w:rPr>
        <w:t xml:space="preserve"> de aplicar el principio </w:t>
      </w:r>
      <w:r w:rsidR="000248F7">
        <w:rPr>
          <w:lang w:val="es-ES" w:eastAsia="es-ES"/>
        </w:rPr>
        <w:t xml:space="preserve">de prejudicialidad a las actuaciones administrativas, ya que su aplicación </w:t>
      </w:r>
      <w:r w:rsidR="00480710">
        <w:rPr>
          <w:lang w:val="es-ES" w:eastAsia="es-ES"/>
        </w:rPr>
        <w:t>tan solo procede en el caso de procesos judiciales</w:t>
      </w:r>
      <w:r w:rsidR="00201DED">
        <w:rPr>
          <w:lang w:val="es-ES" w:eastAsia="es-ES"/>
        </w:rPr>
        <w:t>.</w:t>
      </w:r>
    </w:p>
    <w:p w14:paraId="63041B71" w14:textId="77777777" w:rsidR="00201DED" w:rsidRDefault="00201DED" w:rsidP="003E07FB">
      <w:pPr>
        <w:rPr>
          <w:lang w:val="es-ES" w:eastAsia="es-ES"/>
        </w:rPr>
      </w:pPr>
    </w:p>
    <w:p w14:paraId="2C2371E1" w14:textId="4B7BB9E1" w:rsidR="00966E9C" w:rsidRDefault="00E34AB5" w:rsidP="00966E9C">
      <w:pPr>
        <w:jc w:val="both"/>
        <w:rPr>
          <w:lang w:val="es-ES" w:eastAsia="es-ES"/>
        </w:rPr>
      </w:pPr>
      <w:r w:rsidRPr="00E34AB5">
        <w:rPr>
          <w:lang w:val="es-ES" w:eastAsia="es-ES"/>
        </w:rPr>
        <w:t>La suspensión del proceso por prejudicialidad es una institución ajena a la Parte Primera del Código de Procedimiento Administrativo y de lo Contencioso Administrativo, por lo tanto, se debe acudir a lo dispuesto en el Código General del Proceso y en especial a lo dispuesto en el numeral 1 del Artículo 161, en donde</w:t>
      </w:r>
      <w:r>
        <w:rPr>
          <w:lang w:val="es-ES" w:eastAsia="es-ES"/>
        </w:rPr>
        <w:t xml:space="preserve"> respecto de la suspensión del proceso,</w:t>
      </w:r>
      <w:r w:rsidRPr="00E34AB5">
        <w:rPr>
          <w:lang w:val="es-ES" w:eastAsia="es-ES"/>
        </w:rPr>
        <w:t xml:space="preserve"> se dispone que </w:t>
      </w:r>
      <w:r w:rsidRPr="00E34AB5">
        <w:rPr>
          <w:i/>
          <w:iCs/>
          <w:lang w:val="es-ES" w:eastAsia="es-ES"/>
        </w:rPr>
        <w:t>“1. Cuando la sentencia que deba dictarse dependa necesariamente de lo que se decida en otro proceso judicial que verse sobre cuestión que sea imposible de ventilar en aquel como excepción o mediante demanda de reconvención…”</w:t>
      </w:r>
      <w:r w:rsidRPr="00E34AB5">
        <w:rPr>
          <w:lang w:val="es-ES" w:eastAsia="es-ES"/>
        </w:rPr>
        <w:t xml:space="preserve">. Pero, en el ejercicio de la función administrativa, ni siquiera la existencia de una demanda de nulidad suspende la facultad de la autoridad para tomar las decisiones de su competencia, salvo situaciones especiales expresamente establecidas en la ley, </w:t>
      </w:r>
      <w:r w:rsidRPr="00E34AB5">
        <w:rPr>
          <w:lang w:val="es-ES" w:eastAsia="es-ES"/>
        </w:rPr>
        <w:lastRenderedPageBreak/>
        <w:t>como la imposibilidad de ejercer la facultad de revocatoria directa de los actos administrativos, o la imposibilidad de proseguir el cobro coactivo cuando se ha admitido demanda de nulidad y restablecimiento del derecho contra el título.</w:t>
      </w:r>
    </w:p>
    <w:p w14:paraId="0EDBB9D8" w14:textId="77777777" w:rsidR="00E34AB5" w:rsidRPr="00476589" w:rsidRDefault="00E34AB5" w:rsidP="00966E9C">
      <w:pPr>
        <w:jc w:val="both"/>
        <w:rPr>
          <w:lang w:val="es-ES" w:eastAsia="es-ES"/>
        </w:rPr>
      </w:pPr>
    </w:p>
    <w:p w14:paraId="27451F30" w14:textId="5AA1793C" w:rsidR="00B96CA4" w:rsidRPr="00476589" w:rsidRDefault="009165D6" w:rsidP="006B0861">
      <w:pPr>
        <w:jc w:val="both"/>
        <w:rPr>
          <w:lang w:val="es-ES" w:eastAsia="es-ES"/>
        </w:rPr>
      </w:pPr>
      <w:r w:rsidRPr="00476589">
        <w:rPr>
          <w:lang w:val="es-ES" w:eastAsia="es-ES"/>
        </w:rPr>
        <w:t xml:space="preserve">En consecuencia, </w:t>
      </w:r>
      <w:r w:rsidR="006B0861" w:rsidRPr="00476589">
        <w:rPr>
          <w:lang w:val="es-ES" w:eastAsia="es-ES"/>
        </w:rPr>
        <w:t>esta Comisión no encuentra procedente</w:t>
      </w:r>
      <w:r w:rsidR="00DD3645">
        <w:rPr>
          <w:lang w:val="es-ES" w:eastAsia="es-ES"/>
        </w:rPr>
        <w:t>s</w:t>
      </w:r>
      <w:r w:rsidR="006B0861" w:rsidRPr="00476589">
        <w:rPr>
          <w:lang w:val="es-ES" w:eastAsia="es-ES"/>
        </w:rPr>
        <w:t xml:space="preserve"> los argumentos y solicitud del recurso, referentes a suspender los efectos de la presente decisión y</w:t>
      </w:r>
      <w:r w:rsidR="00FB1AE4">
        <w:rPr>
          <w:lang w:val="es-ES" w:eastAsia="es-ES"/>
        </w:rPr>
        <w:t>,</w:t>
      </w:r>
      <w:r w:rsidR="006B0861" w:rsidRPr="00476589">
        <w:rPr>
          <w:lang w:val="es-ES" w:eastAsia="es-ES"/>
        </w:rPr>
        <w:t xml:space="preserve"> en consecuencia, no procede </w:t>
      </w:r>
      <w:r w:rsidR="008D4A40" w:rsidRPr="00476589">
        <w:rPr>
          <w:lang w:val="es-ES" w:eastAsia="es-ES"/>
        </w:rPr>
        <w:t>a modificar su decisión o condicionarla frente a esta solicitud y sustento.</w:t>
      </w:r>
    </w:p>
    <w:p w14:paraId="758FBD3F" w14:textId="77777777" w:rsidR="008D4A40" w:rsidRPr="00476589" w:rsidRDefault="008D4A40" w:rsidP="006B0861">
      <w:pPr>
        <w:jc w:val="both"/>
        <w:rPr>
          <w:lang w:val="es-ES" w:eastAsia="es-ES"/>
        </w:rPr>
      </w:pPr>
    </w:p>
    <w:p w14:paraId="338796F4" w14:textId="43E05FE5" w:rsidR="008D4A40" w:rsidRPr="00476589" w:rsidRDefault="008D4A40" w:rsidP="006B0861">
      <w:pPr>
        <w:jc w:val="both"/>
        <w:rPr>
          <w:lang w:val="es-ES" w:eastAsia="es-ES"/>
        </w:rPr>
      </w:pPr>
      <w:r w:rsidRPr="00476589">
        <w:rPr>
          <w:lang w:val="es-ES" w:eastAsia="es-ES"/>
        </w:rPr>
        <w:t xml:space="preserve">Frente a las preguntas puntuales que solicita </w:t>
      </w:r>
      <w:proofErr w:type="spellStart"/>
      <w:r w:rsidRPr="00476589">
        <w:rPr>
          <w:lang w:val="es-ES" w:eastAsia="es-ES"/>
        </w:rPr>
        <w:t>Vanti</w:t>
      </w:r>
      <w:proofErr w:type="spellEnd"/>
      <w:r w:rsidRPr="00476589">
        <w:rPr>
          <w:lang w:val="es-ES" w:eastAsia="es-ES"/>
        </w:rPr>
        <w:t xml:space="preserve"> en su recurso se le dé respuesta:</w:t>
      </w:r>
    </w:p>
    <w:p w14:paraId="0D8A21ED" w14:textId="77777777" w:rsidR="008D4A40" w:rsidRPr="00476589" w:rsidRDefault="008D4A40" w:rsidP="006B0861">
      <w:pPr>
        <w:jc w:val="both"/>
        <w:rPr>
          <w:lang w:val="es-ES" w:eastAsia="es-ES"/>
        </w:rPr>
      </w:pPr>
    </w:p>
    <w:p w14:paraId="5DA1E895" w14:textId="6D9E5A52" w:rsidR="008D4A40" w:rsidRPr="00476589" w:rsidRDefault="00AF3E2C" w:rsidP="00AF3E2C">
      <w:pPr>
        <w:ind w:left="708"/>
        <w:jc w:val="both"/>
        <w:rPr>
          <w:i/>
          <w:iCs/>
          <w:lang w:val="es-ES" w:eastAsia="es-ES"/>
        </w:rPr>
      </w:pPr>
      <w:r w:rsidRPr="009710C3">
        <w:rPr>
          <w:i/>
          <w:iCs/>
          <w:lang w:val="es-ES" w:eastAsia="es-ES"/>
        </w:rPr>
        <w:t>“¿Por qué insiste en mantener el error y lesión injusta a los usuarios derivada de la sobre remuneración injustificada de activos que le han sido advertidos y contrario a dar muestras de resolverlo, lo profundiza?</w:t>
      </w:r>
    </w:p>
    <w:p w14:paraId="0F3A0190" w14:textId="159726DA" w:rsidR="00EE193C" w:rsidRPr="00476589" w:rsidRDefault="007E6AA1" w:rsidP="003E07FB">
      <w:pPr>
        <w:rPr>
          <w:lang w:val="es-ES" w:eastAsia="es-ES"/>
        </w:rPr>
      </w:pPr>
      <w:r w:rsidRPr="00476589">
        <w:rPr>
          <w:lang w:val="es-ES" w:eastAsia="es-ES"/>
        </w:rPr>
        <w:t xml:space="preserve"> </w:t>
      </w:r>
    </w:p>
    <w:p w14:paraId="1513D709" w14:textId="31D7D8ED" w:rsidR="00AF3E2C" w:rsidRPr="00476589" w:rsidRDefault="00AF3E2C" w:rsidP="00AF3E2C">
      <w:pPr>
        <w:ind w:left="708"/>
        <w:jc w:val="both"/>
        <w:rPr>
          <w:i/>
          <w:iCs/>
          <w:lang w:val="es-ES" w:eastAsia="es-ES"/>
        </w:rPr>
      </w:pPr>
      <w:r w:rsidRPr="00476589">
        <w:rPr>
          <w:i/>
          <w:iCs/>
          <w:lang w:val="es-ES" w:eastAsia="es-ES"/>
        </w:rPr>
        <w:t>¿Cómo mediante las decisiones que, se reitera, implican una sobre remuneración de activos y aumentos tarifarios, se da correcta aplicación a los principios del régimen tarifario, en especial los de eficiencia económica y suficiencia financiera?</w:t>
      </w:r>
    </w:p>
    <w:p w14:paraId="2792C728" w14:textId="77777777" w:rsidR="00A52ED3" w:rsidRPr="00476589" w:rsidRDefault="00A52ED3" w:rsidP="003E07FB">
      <w:pPr>
        <w:rPr>
          <w:i/>
          <w:iCs/>
          <w:lang w:val="es-ES" w:eastAsia="es-ES"/>
        </w:rPr>
      </w:pPr>
    </w:p>
    <w:p w14:paraId="0F615897" w14:textId="44EF0A45" w:rsidR="00A30C5F" w:rsidRPr="00753B5A" w:rsidRDefault="00AC765A" w:rsidP="00BA0D6B">
      <w:pPr>
        <w:jc w:val="both"/>
        <w:rPr>
          <w:lang w:val="es-ES" w:eastAsia="es-ES"/>
        </w:rPr>
      </w:pPr>
      <w:r w:rsidRPr="00753B5A">
        <w:rPr>
          <w:lang w:val="es-ES" w:eastAsia="es-ES"/>
        </w:rPr>
        <w:t>La</w:t>
      </w:r>
      <w:r w:rsidR="00944218" w:rsidRPr="00753B5A">
        <w:rPr>
          <w:lang w:val="es-ES" w:eastAsia="es-ES"/>
        </w:rPr>
        <w:t xml:space="preserve"> aplicación de la valoración de activos que cumplieron Vida Útil Normativa </w:t>
      </w:r>
      <w:r w:rsidR="000207E6" w:rsidRPr="00753B5A">
        <w:rPr>
          <w:lang w:val="es-ES" w:eastAsia="es-ES"/>
        </w:rPr>
        <w:t>(VUN) a diciembre de 2020, obedece a reglas definidas en la Resolución CREG 126 de 2010</w:t>
      </w:r>
      <w:r w:rsidR="00A52ED3">
        <w:rPr>
          <w:lang w:val="es-ES" w:eastAsia="es-ES"/>
        </w:rPr>
        <w:t>,</w:t>
      </w:r>
      <w:r w:rsidR="000207E6" w:rsidRPr="00753B5A">
        <w:rPr>
          <w:lang w:val="es-ES" w:eastAsia="es-ES"/>
        </w:rPr>
        <w:t xml:space="preserve"> las cuales la Comisión consideró como eficientes en su momento</w:t>
      </w:r>
      <w:r w:rsidR="007C3555" w:rsidRPr="00753B5A">
        <w:rPr>
          <w:lang w:val="es-ES" w:eastAsia="es-ES"/>
        </w:rPr>
        <w:t>,</w:t>
      </w:r>
      <w:r w:rsidR="000207E6" w:rsidRPr="00753B5A">
        <w:rPr>
          <w:lang w:val="es-ES" w:eastAsia="es-ES"/>
        </w:rPr>
        <w:t xml:space="preserve"> cumpliendo</w:t>
      </w:r>
      <w:r w:rsidR="00D42D56" w:rsidRPr="00753B5A">
        <w:rPr>
          <w:lang w:val="es-ES" w:eastAsia="es-ES"/>
        </w:rPr>
        <w:t xml:space="preserve"> </w:t>
      </w:r>
      <w:r w:rsidR="000207E6" w:rsidRPr="00753B5A">
        <w:rPr>
          <w:lang w:val="es-ES" w:eastAsia="es-ES"/>
        </w:rPr>
        <w:t>los principios tarifarios</w:t>
      </w:r>
      <w:r w:rsidR="00544433" w:rsidRPr="00753B5A">
        <w:rPr>
          <w:lang w:val="es-ES" w:eastAsia="es-ES"/>
        </w:rPr>
        <w:t xml:space="preserve"> descritos en la Ley 142 de 1994</w:t>
      </w:r>
      <w:r w:rsidR="000207E6" w:rsidRPr="00753B5A">
        <w:rPr>
          <w:lang w:val="es-ES" w:eastAsia="es-ES"/>
        </w:rPr>
        <w:t xml:space="preserve">. </w:t>
      </w:r>
    </w:p>
    <w:p w14:paraId="4867876B" w14:textId="774E9152" w:rsidR="000207E6" w:rsidRPr="00753B5A" w:rsidRDefault="000207E6" w:rsidP="00BA0D6B">
      <w:pPr>
        <w:jc w:val="both"/>
        <w:rPr>
          <w:lang w:val="es-ES" w:eastAsia="es-ES"/>
        </w:rPr>
      </w:pPr>
    </w:p>
    <w:p w14:paraId="1C29E277" w14:textId="7CAC331A" w:rsidR="000207E6" w:rsidRPr="00753B5A" w:rsidRDefault="00D42D56" w:rsidP="00BA0D6B">
      <w:pPr>
        <w:jc w:val="both"/>
        <w:rPr>
          <w:lang w:val="es-ES" w:eastAsia="es-ES"/>
        </w:rPr>
      </w:pPr>
      <w:r w:rsidRPr="00753B5A">
        <w:rPr>
          <w:lang w:val="es-ES" w:eastAsia="es-ES"/>
        </w:rPr>
        <w:t>Los activos que cumplieron esta condición se reconocen en el marco de aplicación de la nueva metodología tarifaria (artículo 7 de la Resolución CREG 175 de 2021), teniendo en cuenta las situaciones</w:t>
      </w:r>
      <w:r w:rsidR="00384FF7" w:rsidRPr="00753B5A">
        <w:rPr>
          <w:lang w:val="es-ES" w:eastAsia="es-ES"/>
        </w:rPr>
        <w:t xml:space="preserve"> jurídicas</w:t>
      </w:r>
      <w:r w:rsidRPr="00753B5A">
        <w:rPr>
          <w:lang w:val="es-ES" w:eastAsia="es-ES"/>
        </w:rPr>
        <w:t xml:space="preserve"> consolidadas que se generaron con base en la anterior metodología</w:t>
      </w:r>
      <w:r w:rsidR="008B65F1" w:rsidRPr="00753B5A">
        <w:rPr>
          <w:lang w:val="es-ES" w:eastAsia="es-ES"/>
        </w:rPr>
        <w:t xml:space="preserve">, ajustando los valores con base en la norma que las originó y sobre los cuales se hizo la solicitud. </w:t>
      </w:r>
    </w:p>
    <w:p w14:paraId="4BC7ADC1" w14:textId="62C43C99" w:rsidR="00D42D56" w:rsidRPr="00753B5A" w:rsidRDefault="00D42D56" w:rsidP="00BA0D6B">
      <w:pPr>
        <w:jc w:val="both"/>
        <w:rPr>
          <w:lang w:val="es-ES" w:eastAsia="es-ES"/>
        </w:rPr>
      </w:pPr>
    </w:p>
    <w:p w14:paraId="001A6C56" w14:textId="4F6FD85B" w:rsidR="00771F9A" w:rsidRDefault="008B65F1" w:rsidP="00BA0D6B">
      <w:pPr>
        <w:jc w:val="both"/>
        <w:rPr>
          <w:lang w:val="es-ES" w:eastAsia="es-ES"/>
        </w:rPr>
      </w:pPr>
      <w:r w:rsidRPr="00753B5A">
        <w:rPr>
          <w:lang w:val="es-ES" w:eastAsia="es-ES"/>
        </w:rPr>
        <w:t xml:space="preserve">En consecuencia, este procedimiento hace parte de la estructura general de actualización de cargos para el presente periodo tarifario, </w:t>
      </w:r>
      <w:r w:rsidR="007C3555" w:rsidRPr="00753B5A">
        <w:rPr>
          <w:lang w:val="es-ES" w:eastAsia="es-ES"/>
        </w:rPr>
        <w:t>dando trámite</w:t>
      </w:r>
      <w:r w:rsidRPr="00753B5A">
        <w:rPr>
          <w:lang w:val="es-ES" w:eastAsia="es-ES"/>
        </w:rPr>
        <w:t xml:space="preserve"> a las solicitudes</w:t>
      </w:r>
      <w:r w:rsidR="007C3555" w:rsidRPr="00753B5A">
        <w:rPr>
          <w:lang w:val="es-ES" w:eastAsia="es-ES"/>
        </w:rPr>
        <w:t xml:space="preserve"> de valoración de activos</w:t>
      </w:r>
      <w:r w:rsidRPr="00753B5A">
        <w:rPr>
          <w:lang w:val="es-ES" w:eastAsia="es-ES"/>
        </w:rPr>
        <w:t xml:space="preserve"> que cumpl</w:t>
      </w:r>
      <w:r w:rsidR="00771F9A">
        <w:rPr>
          <w:lang w:val="es-ES" w:eastAsia="es-ES"/>
        </w:rPr>
        <w:t>ieron</w:t>
      </w:r>
      <w:r w:rsidRPr="00753B5A">
        <w:rPr>
          <w:lang w:val="es-ES" w:eastAsia="es-ES"/>
        </w:rPr>
        <w:t xml:space="preserve"> </w:t>
      </w:r>
      <w:r w:rsidR="00544433" w:rsidRPr="00753B5A">
        <w:rPr>
          <w:lang w:val="es-ES" w:eastAsia="es-ES"/>
        </w:rPr>
        <w:t xml:space="preserve">con </w:t>
      </w:r>
      <w:r w:rsidRPr="00753B5A">
        <w:rPr>
          <w:lang w:val="es-ES" w:eastAsia="es-ES"/>
        </w:rPr>
        <w:t>los requisitos</w:t>
      </w:r>
      <w:r w:rsidR="0056416E" w:rsidRPr="00753B5A">
        <w:rPr>
          <w:lang w:val="es-ES" w:eastAsia="es-ES"/>
        </w:rPr>
        <w:t xml:space="preserve"> y </w:t>
      </w:r>
      <w:r w:rsidR="00771F9A">
        <w:rPr>
          <w:lang w:val="es-ES" w:eastAsia="es-ES"/>
        </w:rPr>
        <w:t xml:space="preserve">que se </w:t>
      </w:r>
      <w:r w:rsidR="00544433" w:rsidRPr="00753B5A">
        <w:rPr>
          <w:lang w:val="es-ES" w:eastAsia="es-ES"/>
        </w:rPr>
        <w:t>surtieron con base en</w:t>
      </w:r>
      <w:r w:rsidR="0056416E" w:rsidRPr="00753B5A">
        <w:rPr>
          <w:lang w:val="es-ES" w:eastAsia="es-ES"/>
        </w:rPr>
        <w:t xml:space="preserve"> los procedimientos descritos en el artículo 14 de la Resolución CREG 126 de 2010</w:t>
      </w:r>
      <w:r w:rsidR="00544433" w:rsidRPr="00753B5A">
        <w:rPr>
          <w:lang w:val="es-ES" w:eastAsia="es-ES"/>
        </w:rPr>
        <w:t>,</w:t>
      </w:r>
      <w:r w:rsidRPr="00753B5A">
        <w:rPr>
          <w:lang w:val="es-ES" w:eastAsia="es-ES"/>
        </w:rPr>
        <w:t xml:space="preserve"> antes de </w:t>
      </w:r>
      <w:proofErr w:type="gramStart"/>
      <w:r w:rsidRPr="00753B5A">
        <w:rPr>
          <w:lang w:val="es-ES" w:eastAsia="es-ES"/>
        </w:rPr>
        <w:t>entrada en vigencia</w:t>
      </w:r>
      <w:proofErr w:type="gramEnd"/>
      <w:r w:rsidRPr="00753B5A">
        <w:rPr>
          <w:lang w:val="es-ES" w:eastAsia="es-ES"/>
        </w:rPr>
        <w:t xml:space="preserve"> de la nueva metodología (24 de noviembre de 2021)</w:t>
      </w:r>
      <w:r w:rsidR="007C3555" w:rsidRPr="00753B5A">
        <w:rPr>
          <w:lang w:val="es-ES" w:eastAsia="es-ES"/>
        </w:rPr>
        <w:t>.</w:t>
      </w:r>
      <w:r w:rsidRPr="00753B5A">
        <w:rPr>
          <w:lang w:val="es-ES" w:eastAsia="es-ES"/>
        </w:rPr>
        <w:t xml:space="preserve">  </w:t>
      </w:r>
    </w:p>
    <w:p w14:paraId="42614599" w14:textId="6263AE59" w:rsidR="00AF3E2C" w:rsidRDefault="00BA0D6B" w:rsidP="00753B5A">
      <w:pPr>
        <w:jc w:val="both"/>
        <w:rPr>
          <w:lang w:val="es-ES" w:eastAsia="es-ES"/>
        </w:rPr>
      </w:pPr>
      <w:r>
        <w:rPr>
          <w:lang w:val="es-ES" w:eastAsia="es-ES"/>
        </w:rPr>
        <w:t xml:space="preserve"> </w:t>
      </w:r>
      <w:r w:rsidR="008C5B36">
        <w:rPr>
          <w:lang w:val="es-ES" w:eastAsia="es-ES"/>
        </w:rPr>
        <w:t xml:space="preserve"> </w:t>
      </w:r>
      <w:r w:rsidR="00AF3E2C">
        <w:rPr>
          <w:lang w:val="es-ES" w:eastAsia="es-ES"/>
        </w:rPr>
        <w:t xml:space="preserve"> </w:t>
      </w:r>
    </w:p>
    <w:p w14:paraId="393954A8" w14:textId="612C9189" w:rsidR="003E07FB" w:rsidRPr="00A60F17" w:rsidRDefault="00C46D89" w:rsidP="00884FD5">
      <w:pPr>
        <w:pStyle w:val="Tit1"/>
        <w:numPr>
          <w:ilvl w:val="4"/>
          <w:numId w:val="7"/>
        </w:numPr>
        <w:ind w:left="426" w:firstLine="36"/>
        <w:jc w:val="both"/>
        <w:rPr>
          <w:lang w:val="es-ES"/>
        </w:rPr>
      </w:pPr>
      <w:r>
        <w:rPr>
          <w:lang w:val="es-ES"/>
        </w:rPr>
        <w:t>Consideraciones frente al argumento que se</w:t>
      </w:r>
      <w:r w:rsidRPr="00C46D89">
        <w:rPr>
          <w:lang w:val="es-ES"/>
        </w:rPr>
        <w:t xml:space="preserve"> impone la protección al interés público por encima de cualquier expectativa basada en la metodología tarifaria</w:t>
      </w:r>
      <w:r w:rsidR="00834706">
        <w:rPr>
          <w:lang w:val="es-ES"/>
        </w:rPr>
        <w:t>.</w:t>
      </w:r>
    </w:p>
    <w:p w14:paraId="7DC16C29" w14:textId="77777777" w:rsidR="006F4CEA" w:rsidRDefault="006F4CEA" w:rsidP="00444A82">
      <w:pPr>
        <w:jc w:val="both"/>
        <w:rPr>
          <w:lang w:val="es-ES" w:eastAsia="es-ES"/>
        </w:rPr>
      </w:pPr>
    </w:p>
    <w:p w14:paraId="7139E686" w14:textId="1A6D3FB3" w:rsidR="00BC44F1" w:rsidRDefault="00BC44F1" w:rsidP="00CB38C7">
      <w:pPr>
        <w:jc w:val="both"/>
        <w:rPr>
          <w:lang w:val="es-ES" w:eastAsia="es-ES"/>
        </w:rPr>
      </w:pPr>
      <w:r>
        <w:rPr>
          <w:lang w:val="es-ES" w:eastAsia="es-ES"/>
        </w:rPr>
        <w:t xml:space="preserve">Tal como se mencionó en el anterior numeral, la decisión </w:t>
      </w:r>
      <w:r w:rsidR="006558D6">
        <w:rPr>
          <w:lang w:val="es-ES" w:eastAsia="es-ES"/>
        </w:rPr>
        <w:t xml:space="preserve">contenida en la Resolución CREG 502-024 de 2022 se realizó teniendo en cuenta </w:t>
      </w:r>
      <w:r w:rsidR="00AF7A18">
        <w:rPr>
          <w:lang w:val="es-ES" w:eastAsia="es-ES"/>
        </w:rPr>
        <w:t xml:space="preserve">el </w:t>
      </w:r>
      <w:r>
        <w:rPr>
          <w:lang w:val="es-ES" w:eastAsia="es-ES"/>
        </w:rPr>
        <w:t xml:space="preserve">procedimiento descrito en el artículo 14 de la Resolución CREG 126 de 2010, </w:t>
      </w:r>
      <w:r w:rsidR="00E3062F">
        <w:rPr>
          <w:lang w:val="es-ES" w:eastAsia="es-ES"/>
        </w:rPr>
        <w:t>bajo</w:t>
      </w:r>
      <w:r>
        <w:rPr>
          <w:lang w:val="es-ES" w:eastAsia="es-ES"/>
        </w:rPr>
        <w:t xml:space="preserve"> la transición descrita en el artículo 7 de la Resolución CREG 175 de 2021.</w:t>
      </w:r>
    </w:p>
    <w:p w14:paraId="0758A7A1" w14:textId="3C9A4F44" w:rsidR="00BC44F1" w:rsidRDefault="00BC44F1" w:rsidP="00CB38C7">
      <w:pPr>
        <w:jc w:val="both"/>
        <w:rPr>
          <w:lang w:val="es-ES" w:eastAsia="es-ES"/>
        </w:rPr>
      </w:pPr>
    </w:p>
    <w:p w14:paraId="1A419FEF" w14:textId="53AC2572" w:rsidR="00B83B2A" w:rsidRDefault="00E3062F" w:rsidP="00CB38C7">
      <w:pPr>
        <w:jc w:val="both"/>
        <w:rPr>
          <w:lang w:val="es-ES" w:eastAsia="es-ES"/>
        </w:rPr>
      </w:pPr>
      <w:r>
        <w:rPr>
          <w:lang w:val="es-ES" w:eastAsia="es-ES"/>
        </w:rPr>
        <w:lastRenderedPageBreak/>
        <w:t>El ajuste de los cargos obedece a las valoraciones del VAO</w:t>
      </w:r>
      <w:r w:rsidR="00FE6435">
        <w:rPr>
          <w:lang w:val="es-ES" w:eastAsia="es-ES"/>
        </w:rPr>
        <w:t>T</w:t>
      </w:r>
      <w:r>
        <w:rPr>
          <w:lang w:val="es-ES" w:eastAsia="es-ES"/>
        </w:rPr>
        <w:t xml:space="preserve"> y VRAN definidos en la Resolución CREG 099</w:t>
      </w:r>
      <w:r w:rsidR="00C76FF1">
        <w:rPr>
          <w:rStyle w:val="Refdenotaalpie"/>
          <w:lang w:val="es-ES" w:eastAsia="es-ES"/>
        </w:rPr>
        <w:footnoteReference w:id="5"/>
      </w:r>
      <w:r>
        <w:rPr>
          <w:lang w:val="es-ES" w:eastAsia="es-ES"/>
        </w:rPr>
        <w:t xml:space="preserve"> y 231 de 2021</w:t>
      </w:r>
      <w:r w:rsidR="00C76FF1">
        <w:rPr>
          <w:rStyle w:val="Refdenotaalpie"/>
          <w:lang w:val="es-ES" w:eastAsia="es-ES"/>
        </w:rPr>
        <w:footnoteReference w:id="6"/>
      </w:r>
      <w:r>
        <w:rPr>
          <w:lang w:val="es-ES" w:eastAsia="es-ES"/>
        </w:rPr>
        <w:t>, las cuales gozan de firmeza y surtieron todo el procedimiento para su</w:t>
      </w:r>
      <w:r w:rsidR="00FE6435">
        <w:rPr>
          <w:lang w:val="es-ES" w:eastAsia="es-ES"/>
        </w:rPr>
        <w:t xml:space="preserve"> valoración y expedición con base en las reglas definidas en la metodología de la Resolución CREG 126 de 2010</w:t>
      </w:r>
      <w:r>
        <w:rPr>
          <w:lang w:val="es-ES" w:eastAsia="es-ES"/>
        </w:rPr>
        <w:t>.</w:t>
      </w:r>
      <w:r w:rsidR="00FE6435">
        <w:rPr>
          <w:lang w:val="es-ES" w:eastAsia="es-ES"/>
        </w:rPr>
        <w:t xml:space="preserve"> Con la </w:t>
      </w:r>
      <w:r w:rsidR="00303BEF">
        <w:rPr>
          <w:lang w:val="es-ES" w:eastAsia="es-ES"/>
        </w:rPr>
        <w:t xml:space="preserve">Resolución CREG </w:t>
      </w:r>
      <w:r w:rsidR="000544CB">
        <w:rPr>
          <w:lang w:val="es-ES" w:eastAsia="es-ES"/>
        </w:rPr>
        <w:t>502-</w:t>
      </w:r>
      <w:r w:rsidR="00303BEF">
        <w:rPr>
          <w:lang w:val="es-ES" w:eastAsia="es-ES"/>
        </w:rPr>
        <w:t xml:space="preserve">024 de 2022 </w:t>
      </w:r>
      <w:r w:rsidR="00FE6435">
        <w:rPr>
          <w:lang w:val="es-ES" w:eastAsia="es-ES"/>
        </w:rPr>
        <w:t xml:space="preserve">se da aplicación de dichos valores en el cálculo de los cargos tarifarios para </w:t>
      </w:r>
      <w:r w:rsidR="00105143">
        <w:rPr>
          <w:lang w:val="es-ES" w:eastAsia="es-ES"/>
        </w:rPr>
        <w:t>la</w:t>
      </w:r>
      <w:r w:rsidR="00FE6435">
        <w:rPr>
          <w:lang w:val="es-ES" w:eastAsia="es-ES"/>
        </w:rPr>
        <w:t xml:space="preserve"> empresa TGI, con lo que no se hace nugatorios los principios del régimen tarifario, tal como lo expone el recurrente,</w:t>
      </w:r>
      <w:r w:rsidR="00EB00FA">
        <w:rPr>
          <w:lang w:val="es-ES" w:eastAsia="es-ES"/>
        </w:rPr>
        <w:t xml:space="preserve"> sino </w:t>
      </w:r>
      <w:r w:rsidR="006F4CEA">
        <w:rPr>
          <w:lang w:val="es-ES" w:eastAsia="es-ES"/>
        </w:rPr>
        <w:t xml:space="preserve">que </w:t>
      </w:r>
      <w:r w:rsidR="00EB00FA">
        <w:rPr>
          <w:lang w:val="es-ES" w:eastAsia="es-ES"/>
        </w:rPr>
        <w:t xml:space="preserve">se reconocen situaciones jurídicas consolidadas bajo solicitudes efectuadas </w:t>
      </w:r>
      <w:r w:rsidR="00B83B2A">
        <w:rPr>
          <w:lang w:val="es-ES" w:eastAsia="es-ES"/>
        </w:rPr>
        <w:t>bajo la vigencia de una norma y</w:t>
      </w:r>
      <w:r w:rsidR="006F4CEA">
        <w:rPr>
          <w:lang w:val="es-ES" w:eastAsia="es-ES"/>
        </w:rPr>
        <w:t>,</w:t>
      </w:r>
      <w:r w:rsidR="00B83B2A">
        <w:rPr>
          <w:lang w:val="es-ES" w:eastAsia="es-ES"/>
        </w:rPr>
        <w:t xml:space="preserve"> culminadas bajo la transición de otra que lo habilita.</w:t>
      </w:r>
    </w:p>
    <w:p w14:paraId="176A5BBC" w14:textId="77777777" w:rsidR="00B83B2A" w:rsidRDefault="00B83B2A" w:rsidP="00CB38C7">
      <w:pPr>
        <w:jc w:val="both"/>
        <w:rPr>
          <w:lang w:val="es-ES" w:eastAsia="es-ES"/>
        </w:rPr>
      </w:pPr>
    </w:p>
    <w:p w14:paraId="06DFAD83" w14:textId="3F57EA88" w:rsidR="00BC44F1" w:rsidRDefault="00B83B2A" w:rsidP="00CB38C7">
      <w:pPr>
        <w:jc w:val="both"/>
        <w:rPr>
          <w:lang w:val="es-ES" w:eastAsia="es-ES"/>
        </w:rPr>
      </w:pPr>
      <w:r>
        <w:rPr>
          <w:lang w:val="es-ES" w:eastAsia="es-ES"/>
        </w:rPr>
        <w:t xml:space="preserve">Respecto a </w:t>
      </w:r>
      <w:r w:rsidR="00213303">
        <w:rPr>
          <w:lang w:val="es-ES" w:eastAsia="es-ES"/>
        </w:rPr>
        <w:t xml:space="preserve">esta consideración, es necesario hacer las siguientes precisiones: </w:t>
      </w:r>
      <w:r w:rsidR="00E3062F">
        <w:rPr>
          <w:lang w:val="es-ES" w:eastAsia="es-ES"/>
        </w:rPr>
        <w:t xml:space="preserve">  </w:t>
      </w:r>
    </w:p>
    <w:p w14:paraId="74519F55" w14:textId="77777777" w:rsidR="00BC44F1" w:rsidRDefault="00BC44F1" w:rsidP="00CB38C7">
      <w:pPr>
        <w:jc w:val="both"/>
        <w:rPr>
          <w:lang w:val="es-ES" w:eastAsia="es-ES"/>
        </w:rPr>
      </w:pPr>
    </w:p>
    <w:p w14:paraId="4AD60C87" w14:textId="66415B1F" w:rsidR="00466DDA" w:rsidRDefault="00466DDA" w:rsidP="00CB38C7">
      <w:pPr>
        <w:jc w:val="both"/>
        <w:rPr>
          <w:lang w:val="es-ES" w:eastAsia="es-ES"/>
        </w:rPr>
      </w:pPr>
      <w:r w:rsidRPr="00466DDA">
        <w:rPr>
          <w:lang w:val="es-ES" w:eastAsia="es-ES"/>
        </w:rPr>
        <w:t>Las normas sobre fórmulas tarifarias las expide la CREG en ejercicio de la función de intervención del Estado en los servicios públicos; son de orden público y</w:t>
      </w:r>
      <w:r w:rsidR="00FB1AE4">
        <w:rPr>
          <w:lang w:val="es-ES" w:eastAsia="es-ES"/>
        </w:rPr>
        <w:t>,</w:t>
      </w:r>
      <w:r w:rsidRPr="00466DDA">
        <w:rPr>
          <w:lang w:val="es-ES" w:eastAsia="es-ES"/>
        </w:rPr>
        <w:t xml:space="preserve"> por tanto</w:t>
      </w:r>
      <w:r w:rsidR="00FB1AE4">
        <w:rPr>
          <w:lang w:val="es-ES" w:eastAsia="es-ES"/>
        </w:rPr>
        <w:t>,</w:t>
      </w:r>
      <w:r w:rsidRPr="00466DDA">
        <w:rPr>
          <w:lang w:val="es-ES" w:eastAsia="es-ES"/>
        </w:rPr>
        <w:t xml:space="preserve"> sus disposiciones y las situaciones jurídicas consolidadas bajo su imperio son modificables, con efecto general inmediato</w:t>
      </w:r>
      <w:r w:rsidR="00A6765E">
        <w:rPr>
          <w:lang w:val="es-ES" w:eastAsia="es-ES"/>
        </w:rPr>
        <w:t>.</w:t>
      </w:r>
    </w:p>
    <w:p w14:paraId="65522E26" w14:textId="77777777" w:rsidR="000A0029" w:rsidRDefault="000A0029" w:rsidP="00CB38C7">
      <w:pPr>
        <w:jc w:val="both"/>
        <w:rPr>
          <w:lang w:val="es-ES" w:eastAsia="es-ES"/>
        </w:rPr>
      </w:pPr>
    </w:p>
    <w:p w14:paraId="21214960" w14:textId="2AEC4D2A" w:rsidR="00CB38C7" w:rsidRPr="00CB38C7" w:rsidRDefault="00CB38C7" w:rsidP="00CB38C7">
      <w:pPr>
        <w:jc w:val="both"/>
        <w:rPr>
          <w:lang w:val="es-ES" w:eastAsia="es-ES"/>
        </w:rPr>
      </w:pPr>
      <w:r w:rsidRPr="00CB38C7">
        <w:rPr>
          <w:lang w:val="es-ES" w:eastAsia="es-ES"/>
        </w:rPr>
        <w:t>La Ley 142 de 1994 atribuye a las fórmulas tarifarias para los servicios públicos domiciliarios, incluido el de gas natural, un periodo de vigencia de cinco años, al cabo de los cuales pueden ser modificadas por las comisiones de regulación (arts. 126 y 127). De acuerdo con los artículos 90 y 91 de la misma ley</w:t>
      </w:r>
      <w:r w:rsidR="00FB1AE4">
        <w:rPr>
          <w:lang w:val="es-ES" w:eastAsia="es-ES"/>
        </w:rPr>
        <w:t>,</w:t>
      </w:r>
      <w:r w:rsidRPr="00CB38C7">
        <w:rPr>
          <w:lang w:val="es-ES" w:eastAsia="es-ES"/>
        </w:rPr>
        <w:t xml:space="preserve"> los cargos para cada una de las actividades de la cadena del servicio son elementos de las fórmulas tarifarias.</w:t>
      </w:r>
    </w:p>
    <w:p w14:paraId="1508B0A2" w14:textId="77777777" w:rsidR="00CB38C7" w:rsidRPr="00CB38C7" w:rsidRDefault="00CB38C7" w:rsidP="00CB38C7">
      <w:pPr>
        <w:jc w:val="both"/>
        <w:rPr>
          <w:lang w:val="es-ES" w:eastAsia="es-ES"/>
        </w:rPr>
      </w:pPr>
    </w:p>
    <w:p w14:paraId="096CF8A4" w14:textId="77777777" w:rsidR="00CB38C7" w:rsidRPr="00CB38C7" w:rsidRDefault="00CB38C7" w:rsidP="00CB38C7">
      <w:pPr>
        <w:jc w:val="both"/>
        <w:rPr>
          <w:lang w:val="es-ES" w:eastAsia="es-ES"/>
        </w:rPr>
      </w:pPr>
      <w:r w:rsidRPr="00CB38C7">
        <w:rPr>
          <w:lang w:val="es-ES" w:eastAsia="es-ES"/>
        </w:rPr>
        <w:t xml:space="preserve">Siendo así, el régimen de las fórmulas tarifarias comprende normas generales, en las que se enuncian supuestos normativos de carácter objetivo y general, y actos de carácter particular en los que se consolidan las situaciones jurídicas previstas en los supuestos normativos generales, como los cargos, remuneraciones y demás variables que autoriza la CREG a un prestador para calcular la remuneración que cobrará por el servicio prestado. </w:t>
      </w:r>
    </w:p>
    <w:p w14:paraId="348B717D" w14:textId="77777777" w:rsidR="00CB38C7" w:rsidRPr="00CB38C7" w:rsidRDefault="00CB38C7" w:rsidP="00CB38C7">
      <w:pPr>
        <w:jc w:val="both"/>
        <w:rPr>
          <w:lang w:val="es-ES" w:eastAsia="es-ES"/>
        </w:rPr>
      </w:pPr>
    </w:p>
    <w:p w14:paraId="648D8DF1" w14:textId="7E005D32" w:rsidR="00CB38C7" w:rsidRPr="00CB38C7" w:rsidRDefault="001D047E" w:rsidP="00CB38C7">
      <w:pPr>
        <w:jc w:val="both"/>
        <w:rPr>
          <w:lang w:val="es-ES" w:eastAsia="es-ES"/>
        </w:rPr>
      </w:pPr>
      <w:r>
        <w:rPr>
          <w:lang w:val="es-ES" w:eastAsia="es-ES"/>
        </w:rPr>
        <w:t>L</w:t>
      </w:r>
      <w:r w:rsidR="00CB38C7" w:rsidRPr="00CB38C7">
        <w:rPr>
          <w:lang w:val="es-ES" w:eastAsia="es-ES"/>
        </w:rPr>
        <w:t>a mera existencia de una norma jurídica sobre fórmulas tarifarias no puede considerarse, per se, como un derecho adquirido o una situación jurídica consolidada a la aplicación de una determinada fórmula, metodología, remuneración u criterio establecido en las mismas. Por su parte, los actos de carácter particular expedidos para autorizar a un prestador un elemento particular de las fórmulas tarifarias, como un cargo, una variable, una remuneración, etc., crean situaciones jurídicas consolidadas</w:t>
      </w:r>
      <w:r w:rsidR="003A6DEE">
        <w:rPr>
          <w:lang w:val="es-ES" w:eastAsia="es-ES"/>
        </w:rPr>
        <w:t>, con base en lo dispuesto en una norma de carácter general</w:t>
      </w:r>
      <w:r w:rsidR="00CB38C7" w:rsidRPr="00CB38C7">
        <w:rPr>
          <w:lang w:val="es-ES" w:eastAsia="es-ES"/>
        </w:rPr>
        <w:t xml:space="preserve">. </w:t>
      </w:r>
    </w:p>
    <w:p w14:paraId="258B45F9" w14:textId="77777777" w:rsidR="00CB38C7" w:rsidRPr="00CB38C7" w:rsidRDefault="00CB38C7" w:rsidP="00CB38C7">
      <w:pPr>
        <w:jc w:val="both"/>
        <w:rPr>
          <w:lang w:val="es-ES" w:eastAsia="es-ES"/>
        </w:rPr>
      </w:pPr>
    </w:p>
    <w:p w14:paraId="6B0818C0" w14:textId="2A98E4F8" w:rsidR="00CB38C7" w:rsidRPr="00CB38C7" w:rsidRDefault="00CB38C7" w:rsidP="00CB38C7">
      <w:pPr>
        <w:jc w:val="both"/>
        <w:rPr>
          <w:lang w:val="es-ES" w:eastAsia="es-ES"/>
        </w:rPr>
      </w:pPr>
      <w:r w:rsidRPr="00CB38C7">
        <w:rPr>
          <w:lang w:val="es-ES" w:eastAsia="es-ES"/>
        </w:rPr>
        <w:t xml:space="preserve">Sin embargo, de acuerdo con el artículo 126 de la Ley 142 de 1994, tanto las normas generales como los actos de carácter particular que autorizan los elementos –cargos, variables, remuneraciones, etc.- de las fórmulas tarifarias </w:t>
      </w:r>
      <w:r w:rsidRPr="00CB38C7">
        <w:rPr>
          <w:lang w:val="es-ES" w:eastAsia="es-ES"/>
        </w:rPr>
        <w:lastRenderedPageBreak/>
        <w:t xml:space="preserve">tienen una vigencia de cinco años, al cabo de los cuales continuarán rigiendo mientras la CREG no fije las nuevas. </w:t>
      </w:r>
    </w:p>
    <w:p w14:paraId="30AA7FE7" w14:textId="77777777" w:rsidR="00CB38C7" w:rsidRPr="00CB38C7" w:rsidRDefault="00CB38C7" w:rsidP="00CB38C7">
      <w:pPr>
        <w:jc w:val="both"/>
        <w:rPr>
          <w:lang w:val="es-ES" w:eastAsia="es-ES"/>
        </w:rPr>
      </w:pPr>
    </w:p>
    <w:p w14:paraId="17F98807" w14:textId="77777777" w:rsidR="00CB38C7" w:rsidRPr="00CB38C7" w:rsidRDefault="00CB38C7" w:rsidP="00CB38C7">
      <w:pPr>
        <w:jc w:val="both"/>
        <w:rPr>
          <w:lang w:val="es-ES" w:eastAsia="es-ES"/>
        </w:rPr>
      </w:pPr>
      <w:r w:rsidRPr="00CB38C7">
        <w:rPr>
          <w:lang w:val="es-ES" w:eastAsia="es-ES"/>
        </w:rPr>
        <w:t xml:space="preserve">Lo anterior significa que, además del condicionamiento por razones de interés público y social al que están sometidos los actos administrativos sobre el régimen tarifario, la ley pone límite temporal a la existencia de las fórmulas tarifarias y las situaciones jurídicas consolidadas a partir de los actos de carácter particular que autorizan los elementos de las fórmulas tarifarias, en la medida en que garantiza la existencia de las mismas solamente durante el periodo de vigencia señalado, no más allá. </w:t>
      </w:r>
    </w:p>
    <w:p w14:paraId="5AE4367B" w14:textId="77777777" w:rsidR="00CB38C7" w:rsidRPr="00CB38C7" w:rsidRDefault="00CB38C7" w:rsidP="00CB38C7">
      <w:pPr>
        <w:jc w:val="both"/>
        <w:rPr>
          <w:lang w:val="es-ES" w:eastAsia="es-ES"/>
        </w:rPr>
      </w:pPr>
    </w:p>
    <w:p w14:paraId="000AE088" w14:textId="77777777" w:rsidR="00CB38C7" w:rsidRPr="00CB38C7" w:rsidRDefault="00CB38C7" w:rsidP="00CB38C7">
      <w:pPr>
        <w:jc w:val="both"/>
        <w:rPr>
          <w:lang w:val="es-ES" w:eastAsia="es-ES"/>
        </w:rPr>
      </w:pPr>
      <w:r w:rsidRPr="00CB38C7">
        <w:rPr>
          <w:lang w:val="es-ES" w:eastAsia="es-ES"/>
        </w:rPr>
        <w:t>Se trata, por tanto, de actos administrativos, tanto de carácter general como particular, que por disposición legal nacen a la vida jurídica con una existencia condicionada por el interés general y la cláusula del Estado social de derecho, y limitada al periodo de vigencia establecido en la ley. Por tanto, las situaciones jurídicas consolidadas al amparo de esos actos no están llamadas a subsistir más allá de la vigencia que la ley estableció para esos mismos actos.</w:t>
      </w:r>
    </w:p>
    <w:p w14:paraId="3C547EB3" w14:textId="77777777" w:rsidR="00CB38C7" w:rsidRPr="00CB38C7" w:rsidRDefault="00CB38C7" w:rsidP="00CB38C7">
      <w:pPr>
        <w:jc w:val="both"/>
        <w:rPr>
          <w:lang w:val="es-ES" w:eastAsia="es-ES"/>
        </w:rPr>
      </w:pPr>
    </w:p>
    <w:p w14:paraId="108D62D6" w14:textId="4694C533" w:rsidR="00CB38C7" w:rsidRDefault="00CB38C7" w:rsidP="00CB38C7">
      <w:pPr>
        <w:jc w:val="both"/>
        <w:rPr>
          <w:lang w:val="es-ES" w:eastAsia="es-ES"/>
        </w:rPr>
      </w:pPr>
      <w:r w:rsidRPr="00CB38C7">
        <w:rPr>
          <w:lang w:val="es-ES" w:eastAsia="es-ES"/>
        </w:rPr>
        <w:t>Frente a la prevalencia del interés general y la limitación temporal establecida en el artículo 126 de la Ley 142 de 1994</w:t>
      </w:r>
      <w:r w:rsidR="00826388">
        <w:rPr>
          <w:lang w:val="es-ES" w:eastAsia="es-ES"/>
        </w:rPr>
        <w:t>,</w:t>
      </w:r>
      <w:r w:rsidRPr="00CB38C7">
        <w:rPr>
          <w:lang w:val="es-ES" w:eastAsia="es-ES"/>
        </w:rPr>
        <w:t xml:space="preserve"> no es dable sostener que las fórmulas tarifas son modificables y no así las situaciones jurídicas consolidadas al amparo de las mismas, porque ello llevaría a concluir la intangibilidad de estas últimas, con claro desconocimiento de los artículos 1° y 58 constitucionales, como ya lo ha decidido la Corte Constitucional para el caso del mandato de intervención del Estado en el uso del suelo</w:t>
      </w:r>
      <w:r w:rsidR="00703EEC">
        <w:rPr>
          <w:rStyle w:val="Refdenotaalpie"/>
          <w:lang w:val="es-ES" w:eastAsia="es-ES"/>
        </w:rPr>
        <w:footnoteReference w:id="7"/>
      </w:r>
      <w:r w:rsidRPr="00CB38C7">
        <w:rPr>
          <w:lang w:val="es-ES" w:eastAsia="es-ES"/>
        </w:rPr>
        <w:t>.</w:t>
      </w:r>
    </w:p>
    <w:p w14:paraId="218BEC01" w14:textId="77777777" w:rsidR="00AB0CD4" w:rsidRDefault="00AB0CD4" w:rsidP="00CB38C7">
      <w:pPr>
        <w:jc w:val="both"/>
        <w:rPr>
          <w:lang w:val="es-ES" w:eastAsia="es-ES"/>
        </w:rPr>
      </w:pPr>
    </w:p>
    <w:p w14:paraId="688671DF" w14:textId="76E674C8" w:rsidR="00EA2B8B" w:rsidRPr="00EA2B8B" w:rsidRDefault="00EA2B8B" w:rsidP="00EA2B8B">
      <w:pPr>
        <w:jc w:val="both"/>
        <w:rPr>
          <w:lang w:val="es-ES" w:eastAsia="es-ES"/>
        </w:rPr>
      </w:pPr>
      <w:r w:rsidRPr="00EA2B8B">
        <w:rPr>
          <w:lang w:val="es-ES" w:eastAsia="es-ES"/>
        </w:rPr>
        <w:t>Por otra parte, el artículo 126 de la Ley 142 de 1994</w:t>
      </w:r>
      <w:r w:rsidR="001377CE">
        <w:rPr>
          <w:lang w:val="es-ES" w:eastAsia="es-ES"/>
        </w:rPr>
        <w:t>, en</w:t>
      </w:r>
      <w:r w:rsidRPr="00EA2B8B">
        <w:rPr>
          <w:lang w:val="es-ES" w:eastAsia="es-ES"/>
        </w:rPr>
        <w:t xml:space="preserve"> stricto sensu</w:t>
      </w:r>
      <w:r w:rsidR="001377CE">
        <w:rPr>
          <w:lang w:val="es-ES" w:eastAsia="es-ES"/>
        </w:rPr>
        <w:t>,</w:t>
      </w:r>
      <w:r w:rsidRPr="00EA2B8B">
        <w:rPr>
          <w:lang w:val="es-ES" w:eastAsia="es-ES"/>
        </w:rPr>
        <w:t xml:space="preserve"> prevé la aplicación de las fórmulas tarifarias con efecto general inmediato, en cuanto establece que las anteriores regirán hasta cuando la Comisión apruebe las nuevas, esto es, que una vez expedidas, las nuevas fórmulas rigen con efecto inmediato.</w:t>
      </w:r>
      <w:r w:rsidR="00887B9A">
        <w:rPr>
          <w:lang w:val="es-ES" w:eastAsia="es-ES"/>
        </w:rPr>
        <w:t xml:space="preserve"> </w:t>
      </w:r>
      <w:r w:rsidRPr="00EA2B8B">
        <w:rPr>
          <w:lang w:val="es-ES" w:eastAsia="es-ES"/>
        </w:rPr>
        <w:t>Es</w:t>
      </w:r>
      <w:r w:rsidR="00887B9A">
        <w:rPr>
          <w:lang w:val="es-ES" w:eastAsia="es-ES"/>
        </w:rPr>
        <w:t>ta</w:t>
      </w:r>
      <w:r w:rsidRPr="00EA2B8B">
        <w:rPr>
          <w:lang w:val="es-ES" w:eastAsia="es-ES"/>
        </w:rPr>
        <w:t xml:space="preserve"> norma no impone la derogatoria de las resoluciones de carácter general expedidas en materia de fórmulas tarifarias como consecuencia del vencimiento del periodo de cinco años; simplemente prolonga la vigencia del periodo tarifario, razón por la que no es dable deducir directamente de esa norma un efecto </w:t>
      </w:r>
      <w:proofErr w:type="spellStart"/>
      <w:r w:rsidRPr="00EA2B8B">
        <w:rPr>
          <w:lang w:val="es-ES" w:eastAsia="es-ES"/>
        </w:rPr>
        <w:t>ultractivo</w:t>
      </w:r>
      <w:proofErr w:type="spellEnd"/>
      <w:r w:rsidRPr="00EA2B8B">
        <w:rPr>
          <w:lang w:val="es-ES" w:eastAsia="es-ES"/>
        </w:rPr>
        <w:t xml:space="preserve"> de las fórmulas tarifarias derogadas. Adicionalmente, señala que las fórmulas del periodo tarifario anterior rigen hasta el momento en que la CREG fije las nuevas, lo que indica que estas últimas rigen a partir de la vigencia del acto expedido para establecer esas fórmulas.</w:t>
      </w:r>
    </w:p>
    <w:p w14:paraId="08CB62A3" w14:textId="77777777" w:rsidR="00EA2B8B" w:rsidRPr="00EA2B8B" w:rsidRDefault="00EA2B8B" w:rsidP="00EA2B8B">
      <w:pPr>
        <w:jc w:val="both"/>
        <w:rPr>
          <w:lang w:val="es-ES" w:eastAsia="es-ES"/>
        </w:rPr>
      </w:pPr>
    </w:p>
    <w:p w14:paraId="5C385BEF" w14:textId="076FBF83" w:rsidR="00EA2B8B" w:rsidRPr="00EA2B8B" w:rsidRDefault="00EA2B8B" w:rsidP="00EA2B8B">
      <w:pPr>
        <w:jc w:val="both"/>
        <w:rPr>
          <w:lang w:val="es-ES" w:eastAsia="es-ES"/>
        </w:rPr>
      </w:pPr>
      <w:r w:rsidRPr="00EA2B8B">
        <w:rPr>
          <w:lang w:val="es-ES" w:eastAsia="es-ES"/>
        </w:rPr>
        <w:t>Esa disposición legal la aplicó la CREG en la Resolución 175 de 2021, para definir el inicio y fin de los periodos tarifarios anterior y el nuevo</w:t>
      </w:r>
      <w:r w:rsidR="00967C87">
        <w:rPr>
          <w:lang w:val="es-ES" w:eastAsia="es-ES"/>
        </w:rPr>
        <w:t>. E</w:t>
      </w:r>
      <w:r w:rsidRPr="00EA2B8B">
        <w:rPr>
          <w:lang w:val="es-ES" w:eastAsia="es-ES"/>
        </w:rPr>
        <w:t>l periodo tarifario nuevo se rige por el efecto general inmediato, esto es a partir de la vigencia de la Resolución</w:t>
      </w:r>
      <w:r w:rsidR="00BC44F1">
        <w:rPr>
          <w:lang w:val="es-ES" w:eastAsia="es-ES"/>
        </w:rPr>
        <w:t xml:space="preserve"> CREG</w:t>
      </w:r>
      <w:r w:rsidRPr="00EA2B8B">
        <w:rPr>
          <w:lang w:val="es-ES" w:eastAsia="es-ES"/>
        </w:rPr>
        <w:t xml:space="preserve"> 175 de 2021, mientras que para el periodo tarifario anterior se prolongó la vigencia de los cargos aprobados, hasta cuando </w:t>
      </w:r>
      <w:r w:rsidRPr="00EA2B8B">
        <w:rPr>
          <w:lang w:val="es-ES" w:eastAsia="es-ES"/>
        </w:rPr>
        <w:lastRenderedPageBreak/>
        <w:t>se autoricen los nuevos cargos con las disposiciones de la nueva fórmula tarifaria, como está previsto en el artículo 126 de la Ley 142 de 1994.</w:t>
      </w:r>
    </w:p>
    <w:p w14:paraId="68A34C02" w14:textId="77777777" w:rsidR="00C55A54" w:rsidRDefault="00C55A54" w:rsidP="00EA2B8B">
      <w:pPr>
        <w:jc w:val="both"/>
        <w:rPr>
          <w:lang w:val="es-ES" w:eastAsia="es-ES"/>
        </w:rPr>
      </w:pPr>
    </w:p>
    <w:p w14:paraId="08F130EC" w14:textId="42A5AB24" w:rsidR="00EA2B8B" w:rsidRPr="00EA2B8B" w:rsidRDefault="00C55A54" w:rsidP="00EA2B8B">
      <w:pPr>
        <w:jc w:val="both"/>
        <w:rPr>
          <w:lang w:val="es-ES" w:eastAsia="es-ES"/>
        </w:rPr>
      </w:pPr>
      <w:r>
        <w:rPr>
          <w:lang w:val="es-ES" w:eastAsia="es-ES"/>
        </w:rPr>
        <w:t>L</w:t>
      </w:r>
      <w:r w:rsidR="00EA2B8B" w:rsidRPr="00EA2B8B">
        <w:rPr>
          <w:lang w:val="es-ES" w:eastAsia="es-ES"/>
        </w:rPr>
        <w:t xml:space="preserve">a </w:t>
      </w:r>
      <w:proofErr w:type="spellStart"/>
      <w:r w:rsidR="00EA2B8B" w:rsidRPr="00EA2B8B">
        <w:rPr>
          <w:lang w:val="es-ES" w:eastAsia="es-ES"/>
        </w:rPr>
        <w:t>ultractividad</w:t>
      </w:r>
      <w:proofErr w:type="spellEnd"/>
      <w:r w:rsidR="00EA2B8B" w:rsidRPr="00EA2B8B">
        <w:rPr>
          <w:lang w:val="es-ES" w:eastAsia="es-ES"/>
        </w:rPr>
        <w:t xml:space="preserve"> tiene como fin proteger situaciones jurídicas consolidadas bajo la norma derogada, para el caso, la prolongación transitoria de la vigencia de los cargos aprobados bajo esa norma (Resolución 126 de 2010), no así la aprobación de nuevos cargos con la norma derogada. </w:t>
      </w:r>
    </w:p>
    <w:p w14:paraId="27EE948B" w14:textId="77777777" w:rsidR="00EA2B8B" w:rsidRPr="00EA2B8B" w:rsidRDefault="00EA2B8B" w:rsidP="00EA2B8B">
      <w:pPr>
        <w:jc w:val="both"/>
        <w:rPr>
          <w:lang w:val="es-ES" w:eastAsia="es-ES"/>
        </w:rPr>
      </w:pPr>
    </w:p>
    <w:p w14:paraId="0F112E5F" w14:textId="3118FCA3" w:rsidR="00EA2B8B" w:rsidRDefault="00EA2B8B" w:rsidP="00DC6D89">
      <w:pPr>
        <w:jc w:val="both"/>
        <w:rPr>
          <w:lang w:val="es-ES" w:eastAsia="es-ES"/>
        </w:rPr>
      </w:pPr>
      <w:r w:rsidRPr="00EA2B8B">
        <w:rPr>
          <w:lang w:val="es-ES" w:eastAsia="es-ES"/>
        </w:rPr>
        <w:t xml:space="preserve">Adicionalmente, en la Resolución </w:t>
      </w:r>
      <w:r w:rsidR="00F87B36">
        <w:rPr>
          <w:lang w:val="es-ES" w:eastAsia="es-ES"/>
        </w:rPr>
        <w:t xml:space="preserve">CREG </w:t>
      </w:r>
      <w:r w:rsidRPr="00EA2B8B">
        <w:rPr>
          <w:lang w:val="es-ES" w:eastAsia="es-ES"/>
        </w:rPr>
        <w:t>175 de 2021 la C</w:t>
      </w:r>
      <w:r w:rsidR="00F87B36">
        <w:rPr>
          <w:lang w:val="es-ES" w:eastAsia="es-ES"/>
        </w:rPr>
        <w:t>omisión</w:t>
      </w:r>
      <w:r w:rsidRPr="00EA2B8B">
        <w:rPr>
          <w:lang w:val="es-ES" w:eastAsia="es-ES"/>
        </w:rPr>
        <w:t xml:space="preserve"> definió otras situaciones jurídicas que se protegerán temporalmente con la </w:t>
      </w:r>
      <w:proofErr w:type="spellStart"/>
      <w:r w:rsidRPr="00EA2B8B">
        <w:rPr>
          <w:lang w:val="es-ES" w:eastAsia="es-ES"/>
        </w:rPr>
        <w:t>ultractividad</w:t>
      </w:r>
      <w:proofErr w:type="spellEnd"/>
      <w:r w:rsidRPr="00EA2B8B">
        <w:rPr>
          <w:lang w:val="es-ES" w:eastAsia="es-ES"/>
        </w:rPr>
        <w:t xml:space="preserve"> de la Resolución 126 de 2010,</w:t>
      </w:r>
      <w:r w:rsidR="00DC6D89">
        <w:rPr>
          <w:lang w:val="es-ES" w:eastAsia="es-ES"/>
        </w:rPr>
        <w:t xml:space="preserve"> tal como se describe en el artículo 7. </w:t>
      </w:r>
    </w:p>
    <w:p w14:paraId="0E9AA38B" w14:textId="77777777" w:rsidR="00DC6D89" w:rsidRPr="00EA2B8B" w:rsidRDefault="00DC6D89" w:rsidP="00DC6D89">
      <w:pPr>
        <w:jc w:val="both"/>
        <w:rPr>
          <w:lang w:val="es-ES" w:eastAsia="es-ES"/>
        </w:rPr>
      </w:pPr>
    </w:p>
    <w:p w14:paraId="1236E779" w14:textId="70BC44C4" w:rsidR="00AB0CD4" w:rsidRPr="00CB38C7" w:rsidRDefault="00EA2B8B" w:rsidP="00EA2B8B">
      <w:pPr>
        <w:jc w:val="both"/>
        <w:rPr>
          <w:lang w:val="es-ES" w:eastAsia="es-ES"/>
        </w:rPr>
      </w:pPr>
      <w:r w:rsidRPr="00EA2B8B">
        <w:rPr>
          <w:lang w:val="es-ES" w:eastAsia="es-ES"/>
        </w:rPr>
        <w:t xml:space="preserve">Los regímenes de transición se adoptan con el fin de proteger las expectativas legítimas, con el otorgamiento de un plazo para que los interesados puedan adecuarse a los cambios introducidos en la normatividad, como está previsto en el artículo 18 de la Ley 153 de 1887, y como lo hace la norma </w:t>
      </w:r>
      <w:r w:rsidR="00A6480F">
        <w:rPr>
          <w:lang w:val="es-ES" w:eastAsia="es-ES"/>
        </w:rPr>
        <w:t>del artículo 7 de la Resolución CREG 175 de 2021</w:t>
      </w:r>
      <w:r w:rsidR="00A04151">
        <w:rPr>
          <w:lang w:val="es-ES" w:eastAsia="es-ES"/>
        </w:rPr>
        <w:t>, d</w:t>
      </w:r>
      <w:r w:rsidRPr="00EA2B8B">
        <w:rPr>
          <w:lang w:val="es-ES" w:eastAsia="es-ES"/>
        </w:rPr>
        <w:t>e donde es dable entender que en esa norma la CREG definió las expectativas legítimas protegidas frente al tránsito regulatorio del nuevo periodo tarifario.</w:t>
      </w:r>
    </w:p>
    <w:p w14:paraId="7D394BD6" w14:textId="77777777" w:rsidR="00CB38C7" w:rsidRDefault="00CB38C7" w:rsidP="00444A82">
      <w:pPr>
        <w:jc w:val="both"/>
        <w:rPr>
          <w:lang w:val="es-ES" w:eastAsia="es-ES"/>
        </w:rPr>
      </w:pPr>
    </w:p>
    <w:p w14:paraId="22059C32" w14:textId="545E1DD4" w:rsidR="00586F5A" w:rsidRDefault="00366324" w:rsidP="00834706">
      <w:pPr>
        <w:jc w:val="both"/>
        <w:rPr>
          <w:lang w:val="es-ES" w:eastAsia="es-ES"/>
        </w:rPr>
      </w:pPr>
      <w:r>
        <w:rPr>
          <w:lang w:val="es-ES" w:eastAsia="es-ES"/>
        </w:rPr>
        <w:t xml:space="preserve">En consecuencia, </w:t>
      </w:r>
      <w:r w:rsidR="00F44F08">
        <w:rPr>
          <w:lang w:val="es-ES" w:eastAsia="es-ES"/>
        </w:rPr>
        <w:t>la Comisión se encuentra an</w:t>
      </w:r>
      <w:r w:rsidR="00586F5A">
        <w:rPr>
          <w:lang w:val="es-ES" w:eastAsia="es-ES"/>
        </w:rPr>
        <w:t xml:space="preserve">alizando, en el marco de revisión de la metodología general, la procedencia y necesidad de intervenir situaciones consolidades bajo </w:t>
      </w:r>
      <w:r w:rsidR="00F5488F">
        <w:rPr>
          <w:lang w:val="es-ES" w:eastAsia="es-ES"/>
        </w:rPr>
        <w:t xml:space="preserve">los criterios definidos en la ley. No es objeto de esta actuación decidir sobre el fondo de </w:t>
      </w:r>
      <w:r w:rsidR="009B5A67">
        <w:rPr>
          <w:lang w:val="es-ES" w:eastAsia="es-ES"/>
        </w:rPr>
        <w:t>dichas normas de carácter general y</w:t>
      </w:r>
      <w:r w:rsidR="00826388">
        <w:rPr>
          <w:lang w:val="es-ES" w:eastAsia="es-ES"/>
        </w:rPr>
        <w:t>,</w:t>
      </w:r>
      <w:r w:rsidR="009B5A67">
        <w:rPr>
          <w:lang w:val="es-ES" w:eastAsia="es-ES"/>
        </w:rPr>
        <w:t xml:space="preserve"> por ende, es su deber legal dar aplicación a</w:t>
      </w:r>
      <w:r w:rsidR="00937461">
        <w:rPr>
          <w:lang w:val="es-ES" w:eastAsia="es-ES"/>
        </w:rPr>
        <w:t xml:space="preserve"> normas vigentes bajo el principio de igualdad a todos frente a situaciones similares. </w:t>
      </w:r>
    </w:p>
    <w:p w14:paraId="4042F0D1" w14:textId="016AA427" w:rsidR="00C864A5" w:rsidRDefault="00DE5C0F" w:rsidP="00DE5C0F">
      <w:pPr>
        <w:pStyle w:val="paragraph"/>
        <w:spacing w:before="0" w:beforeAutospacing="0" w:after="0" w:afterAutospacing="0"/>
        <w:jc w:val="both"/>
        <w:textAlignment w:val="baseline"/>
        <w:rPr>
          <w:rStyle w:val="normaltextrun"/>
          <w:rFonts w:ascii="Bookman Old Style" w:hAnsi="Bookman Old Style" w:cs="Segoe UI"/>
          <w:lang w:val="es-ES"/>
        </w:rPr>
      </w:pPr>
      <w:r w:rsidRPr="00F637CF">
        <w:rPr>
          <w:rStyle w:val="normaltextrun"/>
          <w:rFonts w:ascii="Bookman Old Style" w:hAnsi="Bookman Old Style" w:cs="Segoe UI"/>
          <w:lang w:val="es-ES"/>
        </w:rPr>
        <w:t>Una vez expuestos los argumentos y los análisis por parte de la Comisión en relación con las solicitudes expuestas en el recurso de</w:t>
      </w:r>
      <w:r w:rsidR="0099096A" w:rsidRPr="00F637CF">
        <w:rPr>
          <w:rStyle w:val="normaltextrun"/>
          <w:rFonts w:ascii="Bookman Old Style" w:hAnsi="Bookman Old Style" w:cs="Segoe UI"/>
          <w:lang w:val="es-ES"/>
        </w:rPr>
        <w:t xml:space="preserve"> </w:t>
      </w:r>
      <w:proofErr w:type="spellStart"/>
      <w:r w:rsidR="0099096A" w:rsidRPr="00F637CF">
        <w:rPr>
          <w:rStyle w:val="normaltextrun"/>
          <w:rFonts w:ascii="Bookman Old Style" w:hAnsi="Bookman Old Style" w:cs="Segoe UI"/>
          <w:lang w:val="es-ES"/>
        </w:rPr>
        <w:t>Vanti</w:t>
      </w:r>
      <w:proofErr w:type="spellEnd"/>
      <w:r w:rsidRPr="00F637CF">
        <w:rPr>
          <w:rStyle w:val="normaltextrun"/>
          <w:rFonts w:ascii="Bookman Old Style" w:hAnsi="Bookman Old Style" w:cs="Segoe UI"/>
          <w:lang w:val="es-ES"/>
        </w:rPr>
        <w:t>, </w:t>
      </w:r>
      <w:r w:rsidR="00B268F8" w:rsidRPr="00F637CF">
        <w:rPr>
          <w:rStyle w:val="normaltextrun"/>
          <w:rFonts w:ascii="Bookman Old Style" w:hAnsi="Bookman Old Style" w:cs="Segoe UI"/>
          <w:lang w:val="es-ES"/>
        </w:rPr>
        <w:t xml:space="preserve">la Comisión entra </w:t>
      </w:r>
      <w:r w:rsidR="00826388">
        <w:rPr>
          <w:rStyle w:val="normaltextrun"/>
          <w:rFonts w:ascii="Bookman Old Style" w:hAnsi="Bookman Old Style" w:cs="Segoe UI"/>
          <w:lang w:val="es-ES"/>
        </w:rPr>
        <w:t xml:space="preserve">a </w:t>
      </w:r>
      <w:r w:rsidR="00B268F8" w:rsidRPr="00F637CF">
        <w:rPr>
          <w:rStyle w:val="normaltextrun"/>
          <w:rFonts w:ascii="Bookman Old Style" w:hAnsi="Bookman Old Style" w:cs="Segoe UI"/>
          <w:lang w:val="es-ES"/>
        </w:rPr>
        <w:t>analizar l</w:t>
      </w:r>
      <w:r w:rsidR="00AE0753" w:rsidRPr="00F637CF">
        <w:rPr>
          <w:rStyle w:val="normaltextrun"/>
          <w:rFonts w:ascii="Bookman Old Style" w:hAnsi="Bookman Old Style" w:cs="Segoe UI"/>
          <w:lang w:val="es-ES"/>
        </w:rPr>
        <w:t xml:space="preserve">a solicitud de pruebas </w:t>
      </w:r>
      <w:r w:rsidR="008C5715" w:rsidRPr="00F637CF">
        <w:rPr>
          <w:rStyle w:val="normaltextrun"/>
          <w:rFonts w:ascii="Bookman Old Style" w:hAnsi="Bookman Old Style" w:cs="Segoe UI"/>
          <w:lang w:val="es-ES"/>
        </w:rPr>
        <w:t>dentro de su recurso.</w:t>
      </w:r>
    </w:p>
    <w:p w14:paraId="792AF64D" w14:textId="77777777" w:rsidR="00C864A5" w:rsidRDefault="00C864A5" w:rsidP="00DE5C0F">
      <w:pPr>
        <w:pStyle w:val="paragraph"/>
        <w:spacing w:before="0" w:beforeAutospacing="0" w:after="0" w:afterAutospacing="0"/>
        <w:jc w:val="both"/>
        <w:textAlignment w:val="baseline"/>
        <w:rPr>
          <w:rStyle w:val="normaltextrun"/>
          <w:rFonts w:ascii="Bookman Old Style" w:hAnsi="Bookman Old Style" w:cs="Segoe UI"/>
          <w:lang w:val="es-ES"/>
        </w:rPr>
      </w:pPr>
    </w:p>
    <w:p w14:paraId="5347D9EF" w14:textId="261F8E27" w:rsidR="00687513" w:rsidRPr="002E67FD" w:rsidRDefault="00C864A5" w:rsidP="00DE5C0F">
      <w:pPr>
        <w:pStyle w:val="paragraph"/>
        <w:spacing w:before="0" w:beforeAutospacing="0" w:after="0" w:afterAutospacing="0"/>
        <w:jc w:val="both"/>
        <w:textAlignment w:val="baseline"/>
        <w:rPr>
          <w:rStyle w:val="normaltextrun"/>
          <w:rFonts w:ascii="Bookman Old Style" w:hAnsi="Bookman Old Style" w:cs="Segoe UI"/>
          <w:i/>
          <w:iCs/>
          <w:lang w:val="es-ES"/>
        </w:rPr>
      </w:pPr>
      <w:r>
        <w:rPr>
          <w:rStyle w:val="normaltextrun"/>
          <w:rFonts w:ascii="Bookman Old Style" w:hAnsi="Bookman Old Style" w:cs="Segoe UI"/>
          <w:lang w:val="es-ES"/>
        </w:rPr>
        <w:t>Al respecto, el recurrente solicita se decrete de oficio</w:t>
      </w:r>
      <w:r w:rsidR="00A658C4">
        <w:rPr>
          <w:rStyle w:val="normaltextrun"/>
          <w:rFonts w:ascii="Bookman Old Style" w:hAnsi="Bookman Old Style" w:cs="Segoe UI"/>
          <w:lang w:val="es-ES"/>
        </w:rPr>
        <w:t>,</w:t>
      </w:r>
      <w:r>
        <w:rPr>
          <w:rStyle w:val="normaltextrun"/>
          <w:rFonts w:ascii="Bookman Old Style" w:hAnsi="Bookman Old Style" w:cs="Segoe UI"/>
          <w:lang w:val="es-ES"/>
        </w:rPr>
        <w:t xml:space="preserve"> </w:t>
      </w:r>
      <w:r w:rsidR="00A658C4">
        <w:rPr>
          <w:rStyle w:val="normaltextrun"/>
          <w:rFonts w:ascii="Bookman Old Style" w:hAnsi="Bookman Old Style" w:cs="Segoe UI"/>
          <w:lang w:val="es-ES"/>
        </w:rPr>
        <w:t xml:space="preserve">o en subsidio una prueba de parte, </w:t>
      </w:r>
      <w:r w:rsidR="003E6351">
        <w:rPr>
          <w:rStyle w:val="normaltextrun"/>
          <w:rFonts w:ascii="Bookman Old Style" w:hAnsi="Bookman Old Style" w:cs="Segoe UI"/>
          <w:lang w:val="es-ES"/>
        </w:rPr>
        <w:t xml:space="preserve">para </w:t>
      </w:r>
      <w:r w:rsidR="001A2BBA">
        <w:rPr>
          <w:rStyle w:val="normaltextrun"/>
          <w:rFonts w:ascii="Bookman Old Style" w:hAnsi="Bookman Old Style" w:cs="Segoe UI"/>
          <w:lang w:val="es-ES"/>
        </w:rPr>
        <w:t>que se practique</w:t>
      </w:r>
      <w:r w:rsidR="00CF063F">
        <w:rPr>
          <w:rStyle w:val="normaltextrun"/>
          <w:rFonts w:ascii="Bookman Old Style" w:hAnsi="Bookman Old Style" w:cs="Segoe UI"/>
          <w:lang w:val="es-ES"/>
        </w:rPr>
        <w:t xml:space="preserve"> (o aporte)</w:t>
      </w:r>
      <w:r w:rsidR="001A2BBA">
        <w:rPr>
          <w:rStyle w:val="normaltextrun"/>
          <w:rFonts w:ascii="Bookman Old Style" w:hAnsi="Bookman Old Style" w:cs="Segoe UI"/>
          <w:lang w:val="es-ES"/>
        </w:rPr>
        <w:t xml:space="preserve"> un</w:t>
      </w:r>
      <w:r w:rsidR="003E6351">
        <w:rPr>
          <w:rStyle w:val="normaltextrun"/>
          <w:rFonts w:ascii="Bookman Old Style" w:hAnsi="Bookman Old Style" w:cs="Segoe UI"/>
          <w:lang w:val="es-ES"/>
        </w:rPr>
        <w:t xml:space="preserve"> dictamen pericial </w:t>
      </w:r>
      <w:r w:rsidR="001A2BBA">
        <w:rPr>
          <w:rStyle w:val="normaltextrun"/>
          <w:rFonts w:ascii="Bookman Old Style" w:hAnsi="Bookman Old Style" w:cs="Segoe UI"/>
          <w:lang w:val="es-ES"/>
        </w:rPr>
        <w:t>con el objeto de</w:t>
      </w:r>
      <w:r w:rsidR="00137580">
        <w:rPr>
          <w:rStyle w:val="normaltextrun"/>
          <w:rFonts w:ascii="Bookman Old Style" w:hAnsi="Bookman Old Style" w:cs="Segoe UI"/>
          <w:lang w:val="es-ES"/>
        </w:rPr>
        <w:t xml:space="preserve"> </w:t>
      </w:r>
      <w:r w:rsidR="00137580" w:rsidRPr="002E67FD">
        <w:rPr>
          <w:rStyle w:val="normaltextrun"/>
          <w:rFonts w:ascii="Bookman Old Style" w:hAnsi="Bookman Old Style" w:cs="Segoe UI"/>
          <w:i/>
          <w:iCs/>
          <w:lang w:val="es-ES"/>
        </w:rPr>
        <w:t>“determinar si de la aplicación de la Resolución CREG 502 024 de 2022 que se recurre basada en la metodología de la Resolución CREG 175 de 2021 (artículo 7) se está produciendo una sobre remuneración de los activos de transporte de TGI y las posibles implicaciones que traería su aplicación en tarifa final de los usuarios.</w:t>
      </w:r>
      <w:r w:rsidR="00687513" w:rsidRPr="002E67FD">
        <w:rPr>
          <w:rStyle w:val="normaltextrun"/>
          <w:rFonts w:ascii="Bookman Old Style" w:hAnsi="Bookman Old Style" w:cs="Segoe UI"/>
          <w:i/>
          <w:iCs/>
          <w:lang w:val="es-ES"/>
        </w:rPr>
        <w:t>”</w:t>
      </w:r>
    </w:p>
    <w:p w14:paraId="0A555271" w14:textId="77777777" w:rsidR="00687513" w:rsidRDefault="00687513" w:rsidP="00DE5C0F">
      <w:pPr>
        <w:pStyle w:val="paragraph"/>
        <w:spacing w:before="0" w:beforeAutospacing="0" w:after="0" w:afterAutospacing="0"/>
        <w:jc w:val="both"/>
        <w:textAlignment w:val="baseline"/>
        <w:rPr>
          <w:rStyle w:val="normaltextrun"/>
          <w:rFonts w:ascii="Bookman Old Style" w:hAnsi="Bookman Old Style" w:cs="Segoe UI"/>
          <w:lang w:val="es-ES"/>
        </w:rPr>
      </w:pPr>
    </w:p>
    <w:p w14:paraId="6ED8A261" w14:textId="4B93BE6E" w:rsidR="008C5715" w:rsidRDefault="00687513" w:rsidP="00DE5C0F">
      <w:pPr>
        <w:pStyle w:val="paragraph"/>
        <w:spacing w:before="0" w:beforeAutospacing="0" w:after="0" w:afterAutospacing="0"/>
        <w:jc w:val="both"/>
        <w:textAlignment w:val="baseline"/>
        <w:rPr>
          <w:rStyle w:val="normaltextrun"/>
          <w:rFonts w:ascii="Bookman Old Style" w:hAnsi="Bookman Old Style" w:cs="Segoe UI"/>
          <w:lang w:val="es-ES"/>
        </w:rPr>
      </w:pPr>
      <w:r>
        <w:rPr>
          <w:rStyle w:val="normaltextrun"/>
          <w:rFonts w:ascii="Bookman Old Style" w:hAnsi="Bookman Old Style" w:cs="Segoe UI"/>
          <w:lang w:val="es-ES"/>
        </w:rPr>
        <w:t>Al respecto, esta Comisión no encuentra p</w:t>
      </w:r>
      <w:r w:rsidR="00F06D19">
        <w:rPr>
          <w:rStyle w:val="normaltextrun"/>
          <w:rFonts w:ascii="Bookman Old Style" w:hAnsi="Bookman Old Style" w:cs="Segoe UI"/>
          <w:lang w:val="es-ES"/>
        </w:rPr>
        <w:t>ertinente</w:t>
      </w:r>
      <w:r>
        <w:rPr>
          <w:rStyle w:val="normaltextrun"/>
          <w:rFonts w:ascii="Bookman Old Style" w:hAnsi="Bookman Old Style" w:cs="Segoe UI"/>
          <w:lang w:val="es-ES"/>
        </w:rPr>
        <w:t xml:space="preserve"> la práctica de dicha prueba, </w:t>
      </w:r>
      <w:r w:rsidR="00FC69DE">
        <w:rPr>
          <w:rStyle w:val="normaltextrun"/>
          <w:rFonts w:ascii="Bookman Old Style" w:hAnsi="Bookman Old Style" w:cs="Segoe UI"/>
          <w:lang w:val="es-ES"/>
        </w:rPr>
        <w:t>teniendo en cuenta que lo</w:t>
      </w:r>
      <w:r w:rsidR="002E67FD">
        <w:rPr>
          <w:rStyle w:val="normaltextrun"/>
          <w:rFonts w:ascii="Bookman Old Style" w:hAnsi="Bookman Old Style" w:cs="Segoe UI"/>
          <w:lang w:val="es-ES"/>
        </w:rPr>
        <w:t xml:space="preserve"> que </w:t>
      </w:r>
      <w:r w:rsidR="00FC69DE">
        <w:rPr>
          <w:rStyle w:val="normaltextrun"/>
          <w:rFonts w:ascii="Bookman Old Style" w:hAnsi="Bookman Old Style" w:cs="Segoe UI"/>
          <w:lang w:val="es-ES"/>
        </w:rPr>
        <w:t xml:space="preserve">se pretende es entrar a considerar elementos que hacen parte de </w:t>
      </w:r>
      <w:r w:rsidR="00452ABC">
        <w:rPr>
          <w:rStyle w:val="normaltextrun"/>
          <w:rFonts w:ascii="Bookman Old Style" w:hAnsi="Bookman Old Style" w:cs="Segoe UI"/>
          <w:lang w:val="es-ES"/>
        </w:rPr>
        <w:t>una regla</w:t>
      </w:r>
      <w:r w:rsidR="00416AE5">
        <w:rPr>
          <w:rStyle w:val="normaltextrun"/>
          <w:rFonts w:ascii="Bookman Old Style" w:hAnsi="Bookman Old Style" w:cs="Segoe UI"/>
          <w:lang w:val="es-ES"/>
        </w:rPr>
        <w:t xml:space="preserve"> de carácter general</w:t>
      </w:r>
      <w:r w:rsidR="00826388">
        <w:rPr>
          <w:rStyle w:val="normaltextrun"/>
          <w:rFonts w:ascii="Bookman Old Style" w:hAnsi="Bookman Old Style" w:cs="Segoe UI"/>
          <w:lang w:val="es-ES"/>
        </w:rPr>
        <w:t>.</w:t>
      </w:r>
      <w:r w:rsidR="00416AE5">
        <w:rPr>
          <w:rStyle w:val="normaltextrun"/>
          <w:rFonts w:ascii="Bookman Old Style" w:hAnsi="Bookman Old Style" w:cs="Segoe UI"/>
          <w:lang w:val="es-ES"/>
        </w:rPr>
        <w:t xml:space="preserve"> como lo es la valoración de activos </w:t>
      </w:r>
      <w:r w:rsidR="00A77881">
        <w:rPr>
          <w:rStyle w:val="normaltextrun"/>
          <w:rFonts w:ascii="Bookman Old Style" w:hAnsi="Bookman Old Style" w:cs="Segoe UI"/>
          <w:lang w:val="es-ES"/>
        </w:rPr>
        <w:t>descritos en la Resoluci</w:t>
      </w:r>
      <w:r w:rsidR="00E11BD9">
        <w:rPr>
          <w:rStyle w:val="normaltextrun"/>
          <w:rFonts w:ascii="Bookman Old Style" w:hAnsi="Bookman Old Style" w:cs="Segoe UI"/>
          <w:lang w:val="es-ES"/>
        </w:rPr>
        <w:t>ón</w:t>
      </w:r>
      <w:r w:rsidR="00DC6798">
        <w:rPr>
          <w:rStyle w:val="normaltextrun"/>
          <w:rFonts w:ascii="Bookman Old Style" w:hAnsi="Bookman Old Style" w:cs="Segoe UI"/>
          <w:lang w:val="es-ES"/>
        </w:rPr>
        <w:t xml:space="preserve"> CREG 126 de 2010, </w:t>
      </w:r>
      <w:r w:rsidR="0053585D">
        <w:rPr>
          <w:rStyle w:val="normaltextrun"/>
          <w:rFonts w:ascii="Bookman Old Style" w:hAnsi="Bookman Old Style" w:cs="Segoe UI"/>
          <w:lang w:val="es-ES"/>
        </w:rPr>
        <w:t>que</w:t>
      </w:r>
      <w:r w:rsidR="00826388">
        <w:rPr>
          <w:rStyle w:val="normaltextrun"/>
          <w:rFonts w:ascii="Bookman Old Style" w:hAnsi="Bookman Old Style" w:cs="Segoe UI"/>
          <w:lang w:val="es-ES"/>
        </w:rPr>
        <w:t>,</w:t>
      </w:r>
      <w:r w:rsidR="0053585D">
        <w:rPr>
          <w:rStyle w:val="normaltextrun"/>
          <w:rFonts w:ascii="Bookman Old Style" w:hAnsi="Bookman Old Style" w:cs="Segoe UI"/>
          <w:lang w:val="es-ES"/>
        </w:rPr>
        <w:t xml:space="preserve"> tal como se explicó en el numeral 3.</w:t>
      </w:r>
      <w:r w:rsidR="00E11BD9">
        <w:rPr>
          <w:rStyle w:val="normaltextrun"/>
          <w:rFonts w:ascii="Bookman Old Style" w:hAnsi="Bookman Old Style" w:cs="Segoe UI"/>
          <w:lang w:val="es-ES"/>
        </w:rPr>
        <w:t xml:space="preserve">1.1.2.4 del presente escrito, </w:t>
      </w:r>
      <w:r w:rsidR="00E445A0">
        <w:rPr>
          <w:rStyle w:val="normaltextrun"/>
          <w:rFonts w:ascii="Bookman Old Style" w:hAnsi="Bookman Old Style" w:cs="Segoe UI"/>
          <w:lang w:val="es-ES"/>
        </w:rPr>
        <w:t xml:space="preserve">contempla una aplicación </w:t>
      </w:r>
      <w:proofErr w:type="spellStart"/>
      <w:r w:rsidR="00E445A0">
        <w:rPr>
          <w:rStyle w:val="normaltextrun"/>
          <w:rFonts w:ascii="Bookman Old Style" w:hAnsi="Bookman Old Style" w:cs="Segoe UI"/>
          <w:lang w:val="es-ES"/>
        </w:rPr>
        <w:t>ultractiva</w:t>
      </w:r>
      <w:proofErr w:type="spellEnd"/>
      <w:r w:rsidR="00E445A0">
        <w:rPr>
          <w:rStyle w:val="normaltextrun"/>
          <w:rFonts w:ascii="Bookman Old Style" w:hAnsi="Bookman Old Style" w:cs="Segoe UI"/>
          <w:lang w:val="es-ES"/>
        </w:rPr>
        <w:t xml:space="preserve"> de dicha norma para efectos </w:t>
      </w:r>
      <w:r w:rsidR="00AE709C">
        <w:rPr>
          <w:rStyle w:val="normaltextrun"/>
          <w:rFonts w:ascii="Bookman Old Style" w:hAnsi="Bookman Old Style" w:cs="Segoe UI"/>
          <w:lang w:val="es-ES"/>
        </w:rPr>
        <w:t>de aplicar un régimen transicional</w:t>
      </w:r>
      <w:r w:rsidR="00D70D72">
        <w:rPr>
          <w:rStyle w:val="normaltextrun"/>
          <w:rFonts w:ascii="Bookman Old Style" w:hAnsi="Bookman Old Style" w:cs="Segoe UI"/>
          <w:lang w:val="es-ES"/>
        </w:rPr>
        <w:t xml:space="preserve">. Esta norma no es objeto de revisión </w:t>
      </w:r>
      <w:r w:rsidR="0079306B">
        <w:rPr>
          <w:rStyle w:val="normaltextrun"/>
          <w:rFonts w:ascii="Bookman Old Style" w:hAnsi="Bookman Old Style" w:cs="Segoe UI"/>
          <w:lang w:val="es-ES"/>
        </w:rPr>
        <w:t xml:space="preserve">mediante el presente acto, dado que su fundamento es la aplicación de procedimientos objetivos, vigentes </w:t>
      </w:r>
      <w:r w:rsidR="00B5454D">
        <w:rPr>
          <w:rStyle w:val="normaltextrun"/>
          <w:rFonts w:ascii="Bookman Old Style" w:hAnsi="Bookman Old Style" w:cs="Segoe UI"/>
          <w:lang w:val="es-ES"/>
        </w:rPr>
        <w:t>y reglados mediante el artículo 14 de la Resolución CREG 126 de 2010 por remisión directa y transitoria de la aplicación del artículo 7 de la Resolución CREG 175 de 2021</w:t>
      </w:r>
      <w:r w:rsidR="00DD2C59">
        <w:rPr>
          <w:rStyle w:val="normaltextrun"/>
          <w:rFonts w:ascii="Bookman Old Style" w:hAnsi="Bookman Old Style" w:cs="Segoe UI"/>
          <w:lang w:val="es-ES"/>
        </w:rPr>
        <w:t>.</w:t>
      </w:r>
    </w:p>
    <w:p w14:paraId="65486FDF" w14:textId="77777777" w:rsidR="00DD2C59" w:rsidRDefault="00DD2C59" w:rsidP="00DE5C0F">
      <w:pPr>
        <w:pStyle w:val="paragraph"/>
        <w:spacing w:before="0" w:beforeAutospacing="0" w:after="0" w:afterAutospacing="0"/>
        <w:jc w:val="both"/>
        <w:textAlignment w:val="baseline"/>
        <w:rPr>
          <w:rStyle w:val="normaltextrun"/>
          <w:rFonts w:ascii="Bookman Old Style" w:hAnsi="Bookman Old Style" w:cs="Segoe UI"/>
          <w:lang w:val="es-ES"/>
        </w:rPr>
      </w:pPr>
    </w:p>
    <w:p w14:paraId="2BEBC097" w14:textId="03050707" w:rsidR="00DD2C59" w:rsidRDefault="00DD2C59" w:rsidP="00DE5C0F">
      <w:pPr>
        <w:pStyle w:val="paragraph"/>
        <w:spacing w:before="0" w:beforeAutospacing="0" w:after="0" w:afterAutospacing="0"/>
        <w:jc w:val="both"/>
        <w:textAlignment w:val="baseline"/>
        <w:rPr>
          <w:rStyle w:val="normaltextrun"/>
          <w:rFonts w:ascii="Bookman Old Style" w:hAnsi="Bookman Old Style" w:cs="Segoe UI"/>
          <w:lang w:val="es-ES"/>
        </w:rPr>
      </w:pPr>
      <w:r>
        <w:rPr>
          <w:rStyle w:val="normaltextrun"/>
          <w:rFonts w:ascii="Bookman Old Style" w:hAnsi="Bookman Old Style" w:cs="Segoe UI"/>
          <w:lang w:val="es-ES"/>
        </w:rPr>
        <w:t>Adicionalmente, es procedente mencionar</w:t>
      </w:r>
      <w:r w:rsidR="005C72C6">
        <w:rPr>
          <w:rStyle w:val="normaltextrun"/>
          <w:rFonts w:ascii="Bookman Old Style" w:hAnsi="Bookman Old Style" w:cs="Segoe UI"/>
          <w:lang w:val="es-ES"/>
        </w:rPr>
        <w:t>,</w:t>
      </w:r>
      <w:r>
        <w:rPr>
          <w:rStyle w:val="normaltextrun"/>
          <w:rFonts w:ascii="Bookman Old Style" w:hAnsi="Bookman Old Style" w:cs="Segoe UI"/>
          <w:lang w:val="es-ES"/>
        </w:rPr>
        <w:t xml:space="preserve"> para efectos de decisión sobre las pruebas solicitadas que, la valoración de los activos de TGI ya surtieron la </w:t>
      </w:r>
      <w:r>
        <w:rPr>
          <w:rStyle w:val="normaltextrun"/>
          <w:rFonts w:ascii="Bookman Old Style" w:hAnsi="Bookman Old Style" w:cs="Segoe UI"/>
          <w:lang w:val="es-ES"/>
        </w:rPr>
        <w:lastRenderedPageBreak/>
        <w:t>práctica de un</w:t>
      </w:r>
      <w:r w:rsidR="00D917A2">
        <w:rPr>
          <w:rStyle w:val="normaltextrun"/>
          <w:rFonts w:ascii="Bookman Old Style" w:hAnsi="Bookman Old Style" w:cs="Segoe UI"/>
          <w:lang w:val="es-ES"/>
        </w:rPr>
        <w:t xml:space="preserve"> dictamen pericial, el cual fue considerado y descrito para </w:t>
      </w:r>
      <w:r w:rsidR="000A0658">
        <w:rPr>
          <w:rStyle w:val="normaltextrun"/>
          <w:rFonts w:ascii="Bookman Old Style" w:hAnsi="Bookman Old Style" w:cs="Segoe UI"/>
          <w:lang w:val="es-ES"/>
        </w:rPr>
        <w:t xml:space="preserve">efectos de </w:t>
      </w:r>
      <w:r w:rsidR="005C72C6">
        <w:rPr>
          <w:rStyle w:val="normaltextrun"/>
          <w:rFonts w:ascii="Bookman Old Style" w:hAnsi="Bookman Old Style" w:cs="Segoe UI"/>
          <w:lang w:val="es-ES"/>
        </w:rPr>
        <w:t xml:space="preserve">la </w:t>
      </w:r>
      <w:r w:rsidR="000A0658">
        <w:rPr>
          <w:rStyle w:val="normaltextrun"/>
          <w:rFonts w:ascii="Bookman Old Style" w:hAnsi="Bookman Old Style" w:cs="Segoe UI"/>
          <w:lang w:val="es-ES"/>
        </w:rPr>
        <w:t>decisión de las resoluciones</w:t>
      </w:r>
      <w:r w:rsidR="008C7FC7">
        <w:rPr>
          <w:rStyle w:val="normaltextrun"/>
          <w:rFonts w:ascii="Bookman Old Style" w:hAnsi="Bookman Old Style" w:cs="Segoe UI"/>
          <w:lang w:val="es-ES"/>
        </w:rPr>
        <w:t xml:space="preserve"> CREG</w:t>
      </w:r>
      <w:r w:rsidR="000A0658">
        <w:rPr>
          <w:rStyle w:val="normaltextrun"/>
          <w:rFonts w:ascii="Bookman Old Style" w:hAnsi="Bookman Old Style" w:cs="Segoe UI"/>
          <w:lang w:val="es-ES"/>
        </w:rPr>
        <w:t xml:space="preserve"> 099 y 231 de 2021</w:t>
      </w:r>
      <w:r w:rsidR="005C72C6">
        <w:rPr>
          <w:rStyle w:val="normaltextrun"/>
          <w:rFonts w:ascii="Bookman Old Style" w:hAnsi="Bookman Old Style" w:cs="Segoe UI"/>
          <w:lang w:val="es-ES"/>
        </w:rPr>
        <w:t>, la</w:t>
      </w:r>
      <w:r w:rsidR="006206A1">
        <w:rPr>
          <w:rStyle w:val="normaltextrun"/>
          <w:rFonts w:ascii="Bookman Old Style" w:hAnsi="Bookman Old Style" w:cs="Segoe UI"/>
          <w:lang w:val="es-ES"/>
        </w:rPr>
        <w:t>s</w:t>
      </w:r>
      <w:r w:rsidR="005C72C6">
        <w:rPr>
          <w:rStyle w:val="normaltextrun"/>
          <w:rFonts w:ascii="Bookman Old Style" w:hAnsi="Bookman Old Style" w:cs="Segoe UI"/>
          <w:lang w:val="es-ES"/>
        </w:rPr>
        <w:t xml:space="preserve"> cual</w:t>
      </w:r>
      <w:r w:rsidR="006206A1">
        <w:rPr>
          <w:rStyle w:val="normaltextrun"/>
          <w:rFonts w:ascii="Bookman Old Style" w:hAnsi="Bookman Old Style" w:cs="Segoe UI"/>
          <w:lang w:val="es-ES"/>
        </w:rPr>
        <w:t>es</w:t>
      </w:r>
      <w:r w:rsidR="005C72C6">
        <w:rPr>
          <w:rStyle w:val="normaltextrun"/>
          <w:rFonts w:ascii="Bookman Old Style" w:hAnsi="Bookman Old Style" w:cs="Segoe UI"/>
          <w:lang w:val="es-ES"/>
        </w:rPr>
        <w:t xml:space="preserve"> se encuentra</w:t>
      </w:r>
      <w:r w:rsidR="006206A1">
        <w:rPr>
          <w:rStyle w:val="normaltextrun"/>
          <w:rFonts w:ascii="Bookman Old Style" w:hAnsi="Bookman Old Style" w:cs="Segoe UI"/>
          <w:lang w:val="es-ES"/>
        </w:rPr>
        <w:t>n</w:t>
      </w:r>
      <w:r w:rsidR="005C72C6">
        <w:rPr>
          <w:rStyle w:val="normaltextrun"/>
          <w:rFonts w:ascii="Bookman Old Style" w:hAnsi="Bookman Old Style" w:cs="Segoe UI"/>
          <w:lang w:val="es-ES"/>
        </w:rPr>
        <w:t xml:space="preserve"> en firme</w:t>
      </w:r>
      <w:r w:rsidR="002A0473">
        <w:rPr>
          <w:rStyle w:val="normaltextrun"/>
          <w:rFonts w:ascii="Bookman Old Style" w:hAnsi="Bookman Old Style" w:cs="Segoe UI"/>
          <w:lang w:val="es-ES"/>
        </w:rPr>
        <w:t xml:space="preserve">. </w:t>
      </w:r>
    </w:p>
    <w:p w14:paraId="1F7E2977" w14:textId="49875A0C" w:rsidR="006C278A" w:rsidRPr="006C278A" w:rsidRDefault="002A0473" w:rsidP="006C278A">
      <w:pPr>
        <w:pStyle w:val="paragraph"/>
        <w:spacing w:after="0"/>
        <w:jc w:val="both"/>
        <w:textAlignment w:val="baseline"/>
        <w:rPr>
          <w:rStyle w:val="normaltextrun"/>
          <w:rFonts w:ascii="Bookman Old Style" w:hAnsi="Bookman Old Style" w:cs="Segoe UI"/>
          <w:i/>
          <w:iCs/>
          <w:lang w:val="es-ES"/>
        </w:rPr>
      </w:pPr>
      <w:r>
        <w:rPr>
          <w:rStyle w:val="normaltextrun"/>
          <w:rFonts w:ascii="Bookman Old Style" w:hAnsi="Bookman Old Style" w:cs="Segoe UI"/>
          <w:lang w:val="es-ES"/>
        </w:rPr>
        <w:t>En relación con la</w:t>
      </w:r>
      <w:r w:rsidR="00E67AA8">
        <w:rPr>
          <w:rStyle w:val="normaltextrun"/>
          <w:rFonts w:ascii="Bookman Old Style" w:hAnsi="Bookman Old Style" w:cs="Segoe UI"/>
          <w:lang w:val="es-ES"/>
        </w:rPr>
        <w:t xml:space="preserve"> prueba pericial, </w:t>
      </w:r>
      <w:r w:rsidR="006C278A">
        <w:rPr>
          <w:rStyle w:val="normaltextrun"/>
          <w:rFonts w:ascii="Bookman Old Style" w:hAnsi="Bookman Old Style" w:cs="Segoe UI"/>
          <w:lang w:val="es-ES"/>
        </w:rPr>
        <w:t>e</w:t>
      </w:r>
      <w:r w:rsidR="006C278A" w:rsidRPr="006C278A">
        <w:rPr>
          <w:rStyle w:val="normaltextrun"/>
          <w:rFonts w:ascii="Bookman Old Style" w:hAnsi="Bookman Old Style" w:cs="Segoe UI"/>
          <w:lang w:val="es-ES"/>
        </w:rPr>
        <w:t>l Consejo de Estado</w:t>
      </w:r>
      <w:r w:rsidR="00F219CB">
        <w:rPr>
          <w:rStyle w:val="Refdenotaalpie"/>
          <w:rFonts w:ascii="Bookman Old Style" w:hAnsi="Bookman Old Style" w:cs="Segoe UI"/>
          <w:lang w:val="es-ES"/>
        </w:rPr>
        <w:footnoteReference w:id="8"/>
      </w:r>
      <w:r w:rsidR="005C72C6">
        <w:rPr>
          <w:rStyle w:val="normaltextrun"/>
          <w:rFonts w:ascii="Bookman Old Style" w:hAnsi="Bookman Old Style" w:cs="Segoe UI"/>
          <w:lang w:val="es-ES"/>
        </w:rPr>
        <w:t>,</w:t>
      </w:r>
      <w:r w:rsidR="006C278A" w:rsidRPr="006C278A">
        <w:rPr>
          <w:rStyle w:val="normaltextrun"/>
          <w:rFonts w:ascii="Bookman Old Style" w:hAnsi="Bookman Old Style" w:cs="Segoe UI"/>
          <w:lang w:val="es-ES"/>
        </w:rPr>
        <w:t xml:space="preserve"> por su parte, ha reconocido la experticia como un medio probatorio, en las decisiones que ha adoptado: </w:t>
      </w:r>
    </w:p>
    <w:p w14:paraId="3E6ACFEC" w14:textId="4D148967" w:rsidR="00145A6F" w:rsidRPr="00EC30A1" w:rsidRDefault="006C278A" w:rsidP="005C72C6">
      <w:pPr>
        <w:pStyle w:val="paragraph"/>
        <w:spacing w:before="0" w:beforeAutospacing="0" w:after="0" w:afterAutospacing="0"/>
        <w:ind w:left="284"/>
        <w:jc w:val="both"/>
        <w:textAlignment w:val="baseline"/>
        <w:rPr>
          <w:rStyle w:val="normaltextrun"/>
          <w:rFonts w:ascii="Bookman Old Style" w:hAnsi="Bookman Old Style" w:cs="Segoe UI"/>
          <w:lang w:val="es-ES"/>
        </w:rPr>
      </w:pPr>
      <w:r w:rsidRPr="006C278A">
        <w:rPr>
          <w:rStyle w:val="normaltextrun"/>
          <w:rFonts w:ascii="Bookman Old Style" w:hAnsi="Bookman Old Style" w:cs="Segoe UI"/>
          <w:i/>
          <w:iCs/>
          <w:lang w:val="es-ES"/>
        </w:rPr>
        <w:t xml:space="preserve">“En este sentido la doctrina, con base en la ley, enseña que el dictamen pericial es un medio de prueba que consiste en la aportación de ciertos elementos técnicos, científicos o artísticos que, la persona versada en la materia de que se trate, </w:t>
      </w:r>
      <w:r w:rsidRPr="00EC30A1">
        <w:rPr>
          <w:rStyle w:val="normaltextrun"/>
          <w:rFonts w:ascii="Bookman Old Style" w:hAnsi="Bookman Old Style" w:cs="Segoe UI"/>
          <w:b/>
          <w:bCs/>
          <w:i/>
          <w:iCs/>
          <w:lang w:val="es-ES"/>
        </w:rPr>
        <w:t>hace para dilucidar la controversia</w:t>
      </w:r>
      <w:r w:rsidRPr="006C278A">
        <w:rPr>
          <w:rStyle w:val="normaltextrun"/>
          <w:rFonts w:ascii="Bookman Old Style" w:hAnsi="Bookman Old Style" w:cs="Segoe UI"/>
          <w:i/>
          <w:iCs/>
          <w:lang w:val="es-ES"/>
        </w:rPr>
        <w:t>, aporte que requiere de especiales conocimientos, por lo cual se dice que la pericia es una declaración de ciencia, ya sea técnica, científica o artística, es decir, que la prueba no recae sobre puntos de derecho (</w:t>
      </w:r>
      <w:proofErr w:type="spellStart"/>
      <w:r w:rsidRPr="006C278A">
        <w:rPr>
          <w:rStyle w:val="normaltextrun"/>
          <w:rFonts w:ascii="Bookman Old Style" w:hAnsi="Bookman Old Style" w:cs="Segoe UI"/>
          <w:i/>
          <w:iCs/>
          <w:lang w:val="es-ES"/>
        </w:rPr>
        <w:t>num</w:t>
      </w:r>
      <w:proofErr w:type="spellEnd"/>
      <w:r w:rsidRPr="006C278A">
        <w:rPr>
          <w:rStyle w:val="normaltextrun"/>
          <w:rFonts w:ascii="Bookman Old Style" w:hAnsi="Bookman Old Style" w:cs="Segoe UI"/>
          <w:i/>
          <w:iCs/>
          <w:lang w:val="es-ES"/>
        </w:rPr>
        <w:t>. 1 art. 236 C. P. C)”</w:t>
      </w:r>
      <w:r w:rsidR="00EC30A1">
        <w:rPr>
          <w:rStyle w:val="normaltextrun"/>
          <w:rFonts w:ascii="Bookman Old Style" w:hAnsi="Bookman Old Style" w:cs="Segoe UI"/>
          <w:i/>
          <w:iCs/>
          <w:lang w:val="es-ES"/>
        </w:rPr>
        <w:t xml:space="preserve"> </w:t>
      </w:r>
      <w:r w:rsidR="00EC30A1">
        <w:rPr>
          <w:rStyle w:val="normaltextrun"/>
          <w:rFonts w:ascii="Bookman Old Style" w:hAnsi="Bookman Old Style" w:cs="Segoe UI"/>
          <w:lang w:val="es-ES"/>
        </w:rPr>
        <w:t>(subrayado por fuera del texto original)</w:t>
      </w:r>
    </w:p>
    <w:p w14:paraId="3CE23321" w14:textId="07DA4540" w:rsidR="00DE5C0F" w:rsidRDefault="00DE5C0F" w:rsidP="00DE5C0F">
      <w:pPr>
        <w:pStyle w:val="paragraph"/>
        <w:spacing w:before="0" w:beforeAutospacing="0" w:after="0" w:afterAutospacing="0"/>
        <w:jc w:val="both"/>
        <w:textAlignment w:val="baseline"/>
        <w:rPr>
          <w:rFonts w:ascii="Segoe UI" w:hAnsi="Segoe UI" w:cs="Segoe UI"/>
          <w:sz w:val="18"/>
          <w:szCs w:val="18"/>
        </w:rPr>
      </w:pPr>
      <w:r>
        <w:rPr>
          <w:rStyle w:val="normaltextrun"/>
          <w:rFonts w:ascii="Bookman Old Style" w:hAnsi="Bookman Old Style" w:cs="Segoe UI"/>
          <w:lang w:val="es-ES"/>
        </w:rPr>
        <w:t> </w:t>
      </w:r>
      <w:r>
        <w:rPr>
          <w:rStyle w:val="eop"/>
          <w:rFonts w:ascii="Bookman Old Style" w:hAnsi="Bookman Old Style" w:cs="Segoe UI"/>
        </w:rPr>
        <w:t> </w:t>
      </w:r>
    </w:p>
    <w:p w14:paraId="08CB29FC" w14:textId="4EEA59D6" w:rsidR="00DE5C0F" w:rsidRDefault="000E604F" w:rsidP="001A3546">
      <w:r>
        <w:t xml:space="preserve">Y en relación con la </w:t>
      </w:r>
      <w:r w:rsidR="001411F0">
        <w:t>pertinencia</w:t>
      </w:r>
      <w:r>
        <w:t xml:space="preserve"> de la</w:t>
      </w:r>
      <w:r w:rsidR="006F4CEA">
        <w:t>s</w:t>
      </w:r>
      <w:r>
        <w:t xml:space="preserve"> pruebas se ha mencionado que:</w:t>
      </w:r>
    </w:p>
    <w:p w14:paraId="3660EB91" w14:textId="77777777" w:rsidR="000E604F" w:rsidRDefault="000E604F" w:rsidP="001A3546"/>
    <w:p w14:paraId="2C79898D" w14:textId="27F08934" w:rsidR="000E604F" w:rsidRPr="002917EF" w:rsidRDefault="00E94B7B" w:rsidP="005C72C6">
      <w:pPr>
        <w:ind w:left="284"/>
        <w:jc w:val="both"/>
      </w:pPr>
      <w:r w:rsidRPr="007D5388">
        <w:rPr>
          <w:i/>
          <w:iCs/>
        </w:rPr>
        <w:t>“</w:t>
      </w:r>
      <w:r w:rsidR="00724494" w:rsidRPr="007D5388">
        <w:rPr>
          <w:i/>
          <w:iCs/>
        </w:rPr>
        <w:t xml:space="preserve">(…) </w:t>
      </w:r>
      <w:r w:rsidRPr="007D5388">
        <w:rPr>
          <w:i/>
          <w:iCs/>
        </w:rPr>
        <w:t xml:space="preserve">para determinar si procede el decreto de las pruebas propuestas por las partes, el juez debe analizar si éstas cumplen los requisitos legales, esto es, los requisitos de conducencia, pertinencia, utilidad y legalidad. La conducencia consiste en que el medio probatorio propuesto sea adecuado para demostrar el hecho. </w:t>
      </w:r>
      <w:r w:rsidRPr="002917EF">
        <w:rPr>
          <w:b/>
          <w:bCs/>
          <w:i/>
          <w:iCs/>
        </w:rPr>
        <w:t>La pertinencia, por su parte, se fundamenta en que el hecho a demostrar tenga relación con el litigio.</w:t>
      </w:r>
      <w:r w:rsidRPr="007D5388">
        <w:rPr>
          <w:i/>
          <w:iCs/>
        </w:rPr>
        <w:t xml:space="preserve"> La utilidad, a su turno, radica en que el hecho que se pretende demostrar con la prueba no esté suficientemente acreditado con otra. Finalmente, las pruebas, además de tener las características mencionadas, deben estar permitidas por la ley</w:t>
      </w:r>
      <w:r w:rsidR="00724494" w:rsidRPr="007D5388">
        <w:rPr>
          <w:i/>
          <w:iCs/>
        </w:rPr>
        <w:t>”</w:t>
      </w:r>
      <w:r w:rsidR="00724494" w:rsidRPr="007D5388">
        <w:rPr>
          <w:rStyle w:val="Refdenotaalpie"/>
          <w:i/>
          <w:iCs/>
        </w:rPr>
        <w:footnoteReference w:id="9"/>
      </w:r>
      <w:r w:rsidR="002917EF">
        <w:rPr>
          <w:i/>
          <w:iCs/>
        </w:rPr>
        <w:t xml:space="preserve"> </w:t>
      </w:r>
      <w:r w:rsidR="002917EF">
        <w:t>(subrayado por fuera del texto original)</w:t>
      </w:r>
    </w:p>
    <w:p w14:paraId="10F370D9" w14:textId="77777777" w:rsidR="008B4900" w:rsidRDefault="008B4900" w:rsidP="008B4900"/>
    <w:p w14:paraId="4918E618" w14:textId="2E471AB3" w:rsidR="002917EF" w:rsidRDefault="002917EF" w:rsidP="00915E09">
      <w:pPr>
        <w:jc w:val="both"/>
      </w:pPr>
      <w:r>
        <w:t>En consecuencia</w:t>
      </w:r>
      <w:r w:rsidR="005C72C6">
        <w:t>,</w:t>
      </w:r>
      <w:r>
        <w:t xml:space="preserve"> y con base en las normas transcritas, </w:t>
      </w:r>
      <w:r w:rsidR="00D43ABC">
        <w:t>se procederá a rechazar la solicitu</w:t>
      </w:r>
      <w:r w:rsidR="001349E1">
        <w:t>d de las pruebas hechas en el marco de la actuación por improcedentes, teniendo en cuenta que con ellas no se pretende dilucidar el objeto de la actuación</w:t>
      </w:r>
      <w:r w:rsidR="005C72C6">
        <w:t>,</w:t>
      </w:r>
      <w:r w:rsidR="001349E1">
        <w:t xml:space="preserve"> </w:t>
      </w:r>
      <w:r w:rsidR="00496633">
        <w:t xml:space="preserve">ni se pretende demostrar aspectos relacionados con su objeto, toda vez que las valoraciones, tal como se explicó, son el resultado de la aplicación de un procedimiento descrito en normas </w:t>
      </w:r>
      <w:r w:rsidR="00915E09">
        <w:t xml:space="preserve">de carácter general, las cuales no son dables a incumplir o interpretarse de manera particular para efectos del presente acto. Adicionalmente, </w:t>
      </w:r>
      <w:r w:rsidR="00BD5A6A">
        <w:t>el objeto del presente acto tiene en consideración valoraciones de resoluciones que ya tuvieron en cuenta un perito y que surtieron todo el proceso de controversia</w:t>
      </w:r>
      <w:r w:rsidR="005C72C6">
        <w:t xml:space="preserve"> y debido proceso</w:t>
      </w:r>
      <w:r w:rsidR="00BD5A6A">
        <w:t xml:space="preserve"> dentro de dichas actuaciones (Resoluciones CREG 099 y 231 de 2021).</w:t>
      </w:r>
    </w:p>
    <w:p w14:paraId="0E0C8288" w14:textId="77777777" w:rsidR="00915E09" w:rsidRPr="008B4900" w:rsidRDefault="00915E09" w:rsidP="008B4900"/>
    <w:p w14:paraId="1F34378B" w14:textId="189AC5AF" w:rsidR="00CF72D3" w:rsidRDefault="00CF72D3" w:rsidP="00A60F17">
      <w:pPr>
        <w:pStyle w:val="Tit1"/>
        <w:numPr>
          <w:ilvl w:val="1"/>
          <w:numId w:val="7"/>
        </w:numPr>
        <w:ind w:hanging="792"/>
      </w:pPr>
      <w:r>
        <w:t xml:space="preserve"> Recurso interpuesto por la empresa TGI contra la Resolución CREG 502 024 de 2022. </w:t>
      </w:r>
    </w:p>
    <w:p w14:paraId="1E3FDCA6" w14:textId="77777777" w:rsidR="00CF72D3" w:rsidRPr="00CF72D3" w:rsidRDefault="00CF72D3" w:rsidP="00CF72D3">
      <w:pPr>
        <w:rPr>
          <w:lang w:eastAsia="es-ES"/>
        </w:rPr>
      </w:pPr>
    </w:p>
    <w:p w14:paraId="25A64883" w14:textId="0BCF04ED" w:rsidR="00755FA9" w:rsidRDefault="006B7793" w:rsidP="002F12E6">
      <w:pPr>
        <w:jc w:val="both"/>
        <w:rPr>
          <w:lang w:eastAsia="es-ES"/>
        </w:rPr>
      </w:pPr>
      <w:r>
        <w:rPr>
          <w:lang w:eastAsia="es-ES"/>
        </w:rPr>
        <w:lastRenderedPageBreak/>
        <w:t>M</w:t>
      </w:r>
      <w:r w:rsidR="006E410D">
        <w:rPr>
          <w:lang w:eastAsia="es-ES"/>
        </w:rPr>
        <w:t xml:space="preserve">ediante </w:t>
      </w:r>
      <w:r w:rsidR="005C092A">
        <w:rPr>
          <w:lang w:eastAsia="es-ES"/>
        </w:rPr>
        <w:t xml:space="preserve">los </w:t>
      </w:r>
      <w:r w:rsidR="006E410D">
        <w:rPr>
          <w:lang w:eastAsia="es-ES"/>
        </w:rPr>
        <w:t xml:space="preserve">radicados </w:t>
      </w:r>
      <w:r w:rsidR="005C092A">
        <w:rPr>
          <w:lang w:eastAsia="es-ES"/>
        </w:rPr>
        <w:t>E2022009205, E2022009240 y</w:t>
      </w:r>
      <w:r w:rsidR="00A13E5B">
        <w:rPr>
          <w:lang w:eastAsia="es-ES"/>
        </w:rPr>
        <w:t xml:space="preserve"> </w:t>
      </w:r>
      <w:r w:rsidR="005C092A">
        <w:rPr>
          <w:lang w:eastAsia="es-ES"/>
        </w:rPr>
        <w:t>E2022009250</w:t>
      </w:r>
      <w:r>
        <w:rPr>
          <w:lang w:eastAsia="es-ES"/>
        </w:rPr>
        <w:t xml:space="preserve">, TGI </w:t>
      </w:r>
      <w:r w:rsidR="006E410D">
        <w:rPr>
          <w:lang w:eastAsia="es-ES"/>
        </w:rPr>
        <w:t>señala que:</w:t>
      </w:r>
    </w:p>
    <w:p w14:paraId="0E08C7CF" w14:textId="01E5FC43" w:rsidR="0063003B" w:rsidRDefault="0063003B" w:rsidP="0063003B">
      <w:pPr>
        <w:pStyle w:val="Cita"/>
        <w:rPr>
          <w:lang w:eastAsia="es-ES"/>
        </w:rPr>
      </w:pPr>
      <w:r>
        <w:rPr>
          <w:lang w:eastAsia="es-ES"/>
        </w:rPr>
        <w:t>(…)</w:t>
      </w:r>
    </w:p>
    <w:p w14:paraId="7FC20079" w14:textId="224361B9" w:rsidR="0063003B" w:rsidRDefault="0063003B" w:rsidP="0063003B">
      <w:pPr>
        <w:pStyle w:val="Cita"/>
        <w:rPr>
          <w:lang w:eastAsia="es-ES"/>
        </w:rPr>
      </w:pPr>
      <w:r>
        <w:rPr>
          <w:lang w:eastAsia="es-ES"/>
        </w:rPr>
        <w:t>Razones de inconformidad con la Resolución</w:t>
      </w:r>
    </w:p>
    <w:p w14:paraId="509915CC" w14:textId="77777777" w:rsidR="0063003B" w:rsidRDefault="0063003B" w:rsidP="0063003B">
      <w:pPr>
        <w:pStyle w:val="Cita"/>
        <w:rPr>
          <w:lang w:eastAsia="es-ES"/>
        </w:rPr>
      </w:pPr>
      <w:r>
        <w:rPr>
          <w:lang w:eastAsia="es-ES"/>
        </w:rPr>
        <w:t>TGI S.A. ESP solicitará la modificación parcial de las parejas de cargos definidas para la estampilla de gasoductos ramales de TGI, por cuanto los valores establecidos en la Resolución CREG 502 024 de 2022, no corresponden con los valores verificados por TGI S.A. ESP en el marco de la revisión de los actos administrativos proferidos en ocasiones anteriores, como se pasa a explicar:</w:t>
      </w:r>
    </w:p>
    <w:p w14:paraId="1BE6060F" w14:textId="77777777" w:rsidR="0063003B" w:rsidRDefault="0063003B" w:rsidP="0063003B">
      <w:pPr>
        <w:pStyle w:val="Cita"/>
        <w:rPr>
          <w:lang w:eastAsia="es-ES"/>
        </w:rPr>
      </w:pPr>
      <w:r>
        <w:rPr>
          <w:lang w:eastAsia="es-ES"/>
        </w:rPr>
        <w:t xml:space="preserve">Como ya se advirtió en este escrito, en la resolución objeto del presente recurso la Comisión incluyó las inversiones que se han efectuado dentro de los procesos de Vida Útil Normativa en el marco de la Resolución CREG 126 de 2010, referidos a: i) los ramales que fueron repuestos por TGI S.A. ESP y cuyo valor VAO fue incluido en Resoluciones CREG 261 de 2016 (para los ramales </w:t>
      </w:r>
      <w:proofErr w:type="spellStart"/>
      <w:r>
        <w:rPr>
          <w:lang w:eastAsia="es-ES"/>
        </w:rPr>
        <w:t>Yariguíes</w:t>
      </w:r>
      <w:proofErr w:type="spellEnd"/>
      <w:r>
        <w:rPr>
          <w:lang w:eastAsia="es-ES"/>
        </w:rPr>
        <w:t xml:space="preserve"> – Puerto Wilches, Zona Industrial Cantagallo – Cantagallo y Zona Industrial Cantagallo – San Pablo) y CREG 104 de 2017 (para el Ramal Pompeya), y sobre los cuales ahora se debe cambiar su inversión reconocida a valores VRAN; y </w:t>
      </w:r>
      <w:proofErr w:type="spellStart"/>
      <w:r>
        <w:rPr>
          <w:lang w:eastAsia="es-ES"/>
        </w:rPr>
        <w:t>ii</w:t>
      </w:r>
      <w:proofErr w:type="spellEnd"/>
      <w:r>
        <w:rPr>
          <w:lang w:eastAsia="es-ES"/>
        </w:rPr>
        <w:t>) aquellos activos que surtieron su proceso de valoración y ya poseen cuantificadas las inversiones a retirar y adicionar, inversiones que se encuentran contenidas en las Resoluciones CREG 099 y 231 de 2021.</w:t>
      </w:r>
    </w:p>
    <w:p w14:paraId="628323D8" w14:textId="77777777" w:rsidR="0063003B" w:rsidRDefault="0063003B" w:rsidP="0063003B">
      <w:pPr>
        <w:pStyle w:val="Cita"/>
        <w:rPr>
          <w:lang w:eastAsia="es-ES"/>
        </w:rPr>
      </w:pPr>
      <w:r>
        <w:rPr>
          <w:lang w:eastAsia="es-ES"/>
        </w:rPr>
        <w:t>De esta manera, en el artículo 4 de la Resolución CREG 502 024 de 2022 la CREG presenta los nuevos cargos de prestación del servicio incluyendo las nuevas inversiones obtenidas de las actuaciones de vida útil normativa.</w:t>
      </w:r>
    </w:p>
    <w:p w14:paraId="5C0310B9" w14:textId="77777777" w:rsidR="0063003B" w:rsidRDefault="0063003B" w:rsidP="0063003B">
      <w:pPr>
        <w:pStyle w:val="Cita"/>
        <w:rPr>
          <w:lang w:eastAsia="es-ES"/>
        </w:rPr>
      </w:pPr>
      <w:r>
        <w:rPr>
          <w:lang w:eastAsia="es-ES"/>
        </w:rPr>
        <w:t>Al respecto, TGI S.A. ESP realizó una verificación de la información de los cargos teniendo como base la siguiente información:</w:t>
      </w:r>
    </w:p>
    <w:p w14:paraId="7CA581B0" w14:textId="77777777" w:rsidR="0063003B" w:rsidRDefault="0063003B" w:rsidP="0063003B">
      <w:pPr>
        <w:pStyle w:val="Cita"/>
        <w:rPr>
          <w:lang w:eastAsia="es-ES"/>
        </w:rPr>
      </w:pPr>
      <w:r>
        <w:rPr>
          <w:lang w:eastAsia="es-ES"/>
        </w:rPr>
        <w:t>a. Información Existente contenida en las Resoluciones CREG 110 de 2011, CREG 121 de 2012, CREG 160 de 2014 CREG 261 de 2017, CREG 104 de 2017, CREG 003 de 2018 y CREG 106 de 2018.</w:t>
      </w:r>
    </w:p>
    <w:p w14:paraId="746D4022" w14:textId="77777777" w:rsidR="0063003B" w:rsidRDefault="0063003B" w:rsidP="0063003B">
      <w:pPr>
        <w:pStyle w:val="Cita"/>
        <w:rPr>
          <w:lang w:eastAsia="es-ES"/>
        </w:rPr>
      </w:pPr>
      <w:r>
        <w:rPr>
          <w:lang w:eastAsia="es-ES"/>
        </w:rPr>
        <w:t>b. Programa de Nuevas Inversiones (PNI) e Inversiones en Aumento de Capacidad (IAC) contenidas en las Resoluciones CREG 110 de 2011, CREG 121 de 2012 y CREG 160 de 2014.</w:t>
      </w:r>
    </w:p>
    <w:p w14:paraId="20A0F942" w14:textId="1E425AA7" w:rsidR="006E410D" w:rsidRDefault="0063003B" w:rsidP="006D4AD8">
      <w:pPr>
        <w:pStyle w:val="Cita"/>
        <w:rPr>
          <w:lang w:eastAsia="es-ES"/>
        </w:rPr>
      </w:pPr>
      <w:r>
        <w:rPr>
          <w:lang w:eastAsia="es-ES"/>
        </w:rPr>
        <w:t>c. Información de inversiones contenida en las Resoluciones CREG 099 y 231 del 2021.</w:t>
      </w:r>
    </w:p>
    <w:p w14:paraId="63B04E26" w14:textId="77777777" w:rsidR="006D4AD8" w:rsidRDefault="006D4AD8" w:rsidP="006D4AD8">
      <w:pPr>
        <w:pStyle w:val="Cita"/>
        <w:rPr>
          <w:lang w:eastAsia="es-ES"/>
        </w:rPr>
      </w:pPr>
      <w:r>
        <w:rPr>
          <w:lang w:eastAsia="es-ES"/>
        </w:rPr>
        <w:t>d. Demandas CREG contenidas en la Resolución CREG 121 de 2012</w:t>
      </w:r>
    </w:p>
    <w:p w14:paraId="7DB30621" w14:textId="77777777" w:rsidR="006D4AD8" w:rsidRDefault="006D4AD8" w:rsidP="006D4AD8">
      <w:pPr>
        <w:pStyle w:val="Cita"/>
        <w:rPr>
          <w:lang w:eastAsia="es-ES"/>
        </w:rPr>
      </w:pPr>
      <w:r>
        <w:rPr>
          <w:lang w:eastAsia="es-ES"/>
        </w:rPr>
        <w:t>Una vez realizada dicha verificación, se evidenció una diferencia para el cargo de la estampilla correspondiente a ramales que se observa en desarrollo del siguiente análisis.</w:t>
      </w:r>
    </w:p>
    <w:p w14:paraId="58408922" w14:textId="39D03EE2" w:rsidR="006D4AD8" w:rsidRDefault="006D4AD8" w:rsidP="006D4AD8">
      <w:pPr>
        <w:pStyle w:val="Cita"/>
        <w:numPr>
          <w:ilvl w:val="0"/>
          <w:numId w:val="9"/>
        </w:numPr>
        <w:rPr>
          <w:lang w:eastAsia="es-ES"/>
        </w:rPr>
      </w:pPr>
      <w:r>
        <w:rPr>
          <w:lang w:eastAsia="es-ES"/>
        </w:rPr>
        <w:t>Del Anexo 1 de la Resolución CREG 110 de 2011 (modificado por la Resolución CREG 106 de 2018) se extrae lo siguiente:</w:t>
      </w:r>
    </w:p>
    <w:p w14:paraId="26F851A2" w14:textId="77777777" w:rsidR="005A6D58" w:rsidRPr="005A6D58" w:rsidRDefault="005A6D58" w:rsidP="005A6D58">
      <w:pPr>
        <w:rPr>
          <w:lang w:eastAsia="es-ES"/>
        </w:rPr>
      </w:pPr>
    </w:p>
    <w:p w14:paraId="6B305F98" w14:textId="06A73CB2" w:rsidR="006D4AD8" w:rsidRPr="006D4AD8" w:rsidRDefault="00E755BA" w:rsidP="001C33AE">
      <w:pPr>
        <w:pStyle w:val="Prrafodelista"/>
        <w:ind w:left="644"/>
        <w:rPr>
          <w:lang w:eastAsia="es-ES"/>
        </w:rPr>
      </w:pPr>
      <w:r w:rsidRPr="00E755BA">
        <w:rPr>
          <w:lang w:eastAsia="es-ES"/>
        </w:rPr>
        <w:t xml:space="preserve"> </w:t>
      </w:r>
      <w:r w:rsidR="00B36169" w:rsidRPr="00B36169">
        <w:rPr>
          <w:noProof/>
          <w:lang w:eastAsia="es-ES"/>
        </w:rPr>
        <w:drawing>
          <wp:inline distT="0" distB="0" distL="0" distR="0" wp14:anchorId="51F1802D" wp14:editId="548EB540">
            <wp:extent cx="5259312" cy="281982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208" cy="2825668"/>
                    </a:xfrm>
                    <a:prstGeom prst="rect">
                      <a:avLst/>
                    </a:prstGeom>
                    <a:noFill/>
                    <a:ln>
                      <a:noFill/>
                    </a:ln>
                  </pic:spPr>
                </pic:pic>
              </a:graphicData>
            </a:graphic>
          </wp:inline>
        </w:drawing>
      </w:r>
    </w:p>
    <w:p w14:paraId="51126B8E" w14:textId="77777777" w:rsidR="005A6D58" w:rsidRDefault="005A6D58" w:rsidP="0030176E">
      <w:pPr>
        <w:pStyle w:val="Cita"/>
        <w:rPr>
          <w:lang w:eastAsia="es-ES"/>
        </w:rPr>
      </w:pPr>
    </w:p>
    <w:p w14:paraId="0DCCA396" w14:textId="1F606BC0" w:rsidR="006E410D" w:rsidRDefault="0030176E" w:rsidP="0030176E">
      <w:pPr>
        <w:pStyle w:val="Cita"/>
        <w:rPr>
          <w:lang w:eastAsia="es-ES"/>
        </w:rPr>
      </w:pPr>
      <w:r w:rsidRPr="0030176E">
        <w:rPr>
          <w:lang w:eastAsia="es-ES"/>
        </w:rPr>
        <w:lastRenderedPageBreak/>
        <w:t>Conforme a la reproducción anterior, la inversión existente en dólares estadounidenses de diciembre de 2009 es de ochenta y siete millones doscientos setenta y seis mil cuatrocientos setenta y seis dólares (USD 87.276.476), la cual se divide en inversiones para contratos BOMT (correspondiente a USD 50.783.495) y NO BOMT (correspondiente a 36.492.981)</w:t>
      </w:r>
    </w:p>
    <w:p w14:paraId="0A8A12EF" w14:textId="4AB51960" w:rsidR="0030176E" w:rsidRDefault="0030176E" w:rsidP="001A3546">
      <w:pPr>
        <w:pStyle w:val="Cita"/>
        <w:numPr>
          <w:ilvl w:val="0"/>
          <w:numId w:val="9"/>
        </w:numPr>
        <w:rPr>
          <w:lang w:eastAsia="es-ES"/>
        </w:rPr>
      </w:pPr>
      <w:r w:rsidRPr="0030176E">
        <w:rPr>
          <w:lang w:eastAsia="es-ES"/>
        </w:rPr>
        <w:t>Ahora bien, las Inversiones de Aumento de Capacidad en dólares estadounidenses de diciembre de 2009, son del orden de catorce millones quinientos trece mil setecientos sesenta y dos dólares (14.513.762), conforme a la Resolución CREG 160 de 2014, como se observa del siguiente cuadro</w:t>
      </w:r>
      <w:r w:rsidR="005A6D58">
        <w:rPr>
          <w:lang w:eastAsia="es-ES"/>
        </w:rPr>
        <w:t>.</w:t>
      </w:r>
    </w:p>
    <w:p w14:paraId="032D190D" w14:textId="77777777" w:rsidR="005A6D58" w:rsidRPr="005A6D58" w:rsidRDefault="005A6D58" w:rsidP="005A6D58">
      <w:pPr>
        <w:rPr>
          <w:lang w:eastAsia="es-ES"/>
        </w:rPr>
      </w:pPr>
    </w:p>
    <w:p w14:paraId="517B833B" w14:textId="41E32070" w:rsidR="0030176E" w:rsidRDefault="003D0243" w:rsidP="0030176E">
      <w:pPr>
        <w:rPr>
          <w:lang w:eastAsia="es-ES"/>
        </w:rPr>
      </w:pPr>
      <w:r w:rsidRPr="003D0243">
        <w:rPr>
          <w:noProof/>
          <w:lang w:eastAsia="es-ES"/>
        </w:rPr>
        <w:drawing>
          <wp:inline distT="0" distB="0" distL="0" distR="0" wp14:anchorId="7E1CD772" wp14:editId="7A68F9E5">
            <wp:extent cx="5909120" cy="32795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6989" cy="3283948"/>
                    </a:xfrm>
                    <a:prstGeom prst="rect">
                      <a:avLst/>
                    </a:prstGeom>
                    <a:noFill/>
                    <a:ln>
                      <a:noFill/>
                    </a:ln>
                  </pic:spPr>
                </pic:pic>
              </a:graphicData>
            </a:graphic>
          </wp:inline>
        </w:drawing>
      </w:r>
    </w:p>
    <w:p w14:paraId="636AF773" w14:textId="77777777" w:rsidR="00DD0A2B" w:rsidRDefault="00DD0A2B" w:rsidP="0030176E">
      <w:pPr>
        <w:rPr>
          <w:lang w:eastAsia="es-ES"/>
        </w:rPr>
      </w:pPr>
    </w:p>
    <w:p w14:paraId="40EAFC81" w14:textId="246564DF" w:rsidR="00DD0A2B" w:rsidRDefault="001E472C" w:rsidP="001A3546">
      <w:pPr>
        <w:pStyle w:val="Cita"/>
        <w:numPr>
          <w:ilvl w:val="0"/>
          <w:numId w:val="9"/>
        </w:numPr>
        <w:rPr>
          <w:lang w:eastAsia="es-ES"/>
        </w:rPr>
      </w:pPr>
      <w:r>
        <w:rPr>
          <w:lang w:eastAsia="es-ES"/>
        </w:rPr>
        <w:t>El Programa de Nuevas Inversiones en dólares estadounidenses de diciembre de 2009</w:t>
      </w:r>
      <w:r w:rsidR="00D175AE">
        <w:rPr>
          <w:lang w:eastAsia="es-ES"/>
        </w:rPr>
        <w:t xml:space="preserve"> </w:t>
      </w:r>
      <w:r>
        <w:rPr>
          <w:lang w:eastAsia="es-ES"/>
        </w:rPr>
        <w:t>(conforme a la Resolución CREG 502 024 de 2022) se observa en el extracto de tabla a</w:t>
      </w:r>
      <w:r w:rsidR="00D175AE">
        <w:rPr>
          <w:lang w:eastAsia="es-ES"/>
        </w:rPr>
        <w:t xml:space="preserve"> </w:t>
      </w:r>
      <w:r>
        <w:rPr>
          <w:lang w:eastAsia="es-ES"/>
        </w:rPr>
        <w:t>continuación</w:t>
      </w:r>
    </w:p>
    <w:p w14:paraId="33C3441C" w14:textId="304A9FB6" w:rsidR="00D175AE" w:rsidRDefault="00A64CDB" w:rsidP="00D175AE">
      <w:pPr>
        <w:rPr>
          <w:lang w:eastAsia="es-ES"/>
        </w:rPr>
      </w:pPr>
      <w:r w:rsidRPr="00A64CDB">
        <w:rPr>
          <w:noProof/>
          <w:lang w:eastAsia="es-ES"/>
        </w:rPr>
        <w:drawing>
          <wp:inline distT="0" distB="0" distL="0" distR="0" wp14:anchorId="0ED22C0B" wp14:editId="0FF27406">
            <wp:extent cx="5941060" cy="2722880"/>
            <wp:effectExtent l="0" t="0" r="254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2722880"/>
                    </a:xfrm>
                    <a:prstGeom prst="rect">
                      <a:avLst/>
                    </a:prstGeom>
                    <a:noFill/>
                    <a:ln>
                      <a:noFill/>
                    </a:ln>
                  </pic:spPr>
                </pic:pic>
              </a:graphicData>
            </a:graphic>
          </wp:inline>
        </w:drawing>
      </w:r>
    </w:p>
    <w:p w14:paraId="4457DFB1" w14:textId="77777777" w:rsidR="000F3232" w:rsidRPr="003A3A36" w:rsidRDefault="000F3232" w:rsidP="003A3A36">
      <w:pPr>
        <w:pStyle w:val="Cita"/>
      </w:pPr>
    </w:p>
    <w:p w14:paraId="37C30A76" w14:textId="1E87E2C3" w:rsidR="000F3232" w:rsidRPr="003A3A36" w:rsidRDefault="006457E8" w:rsidP="003A3A36">
      <w:pPr>
        <w:pStyle w:val="Cita"/>
      </w:pPr>
      <w:r w:rsidRPr="003A3A36">
        <w:t xml:space="preserve">d. </w:t>
      </w:r>
      <w:r w:rsidR="00506C85" w:rsidRPr="003A3A36">
        <w:t>Las series de demanda son las contenidas en la Resolución CREG 121 de 2012 así:</w:t>
      </w:r>
    </w:p>
    <w:p w14:paraId="2ED9FEC8" w14:textId="4B6FE207" w:rsidR="00506C85" w:rsidRDefault="006457E8" w:rsidP="006457E8">
      <w:pPr>
        <w:pStyle w:val="Cita"/>
        <w:rPr>
          <w:lang w:eastAsia="es-ES"/>
        </w:rPr>
      </w:pPr>
      <w:r w:rsidRPr="006457E8">
        <w:rPr>
          <w:noProof/>
          <w:lang w:eastAsia="es-ES"/>
        </w:rPr>
        <w:lastRenderedPageBreak/>
        <w:drawing>
          <wp:inline distT="0" distB="0" distL="0" distR="0" wp14:anchorId="28AF4B3E" wp14:editId="703C5B6A">
            <wp:extent cx="5313080" cy="457710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202" cy="4591858"/>
                    </a:xfrm>
                    <a:prstGeom prst="rect">
                      <a:avLst/>
                    </a:prstGeom>
                    <a:noFill/>
                    <a:ln>
                      <a:noFill/>
                    </a:ln>
                  </pic:spPr>
                </pic:pic>
              </a:graphicData>
            </a:graphic>
          </wp:inline>
        </w:drawing>
      </w:r>
    </w:p>
    <w:p w14:paraId="35130DAC" w14:textId="77777777" w:rsidR="00646CF0" w:rsidRDefault="00646CF0" w:rsidP="003A3A36">
      <w:pPr>
        <w:pStyle w:val="Cita"/>
        <w:rPr>
          <w:lang w:eastAsia="es-ES"/>
        </w:rPr>
      </w:pPr>
    </w:p>
    <w:p w14:paraId="2336196A" w14:textId="2DA6844F" w:rsidR="00646CF0" w:rsidRDefault="00646CF0" w:rsidP="003A3A36">
      <w:pPr>
        <w:pStyle w:val="Cita"/>
        <w:rPr>
          <w:lang w:eastAsia="es-ES"/>
        </w:rPr>
      </w:pPr>
      <w:r w:rsidRPr="00646CF0">
        <w:rPr>
          <w:lang w:eastAsia="es-ES"/>
        </w:rPr>
        <w:t>e. Las inversiones a ramales en dólares estadounidenses de diciembre de 2009, de acuerdo con la Resolución CREG 502 024 de 2022, son las siguientes</w:t>
      </w:r>
    </w:p>
    <w:p w14:paraId="583FF5E2" w14:textId="6C62D392" w:rsidR="003A3A36" w:rsidRDefault="003A3A36" w:rsidP="00646CF0">
      <w:pPr>
        <w:rPr>
          <w:lang w:eastAsia="es-ES"/>
        </w:rPr>
      </w:pPr>
      <w:r w:rsidRPr="003A3A36">
        <w:rPr>
          <w:noProof/>
          <w:lang w:eastAsia="es-ES"/>
        </w:rPr>
        <w:drawing>
          <wp:inline distT="0" distB="0" distL="0" distR="0" wp14:anchorId="3E2AB091" wp14:editId="18B70DE2">
            <wp:extent cx="5941060" cy="1330325"/>
            <wp:effectExtent l="0" t="0" r="254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1330325"/>
                    </a:xfrm>
                    <a:prstGeom prst="rect">
                      <a:avLst/>
                    </a:prstGeom>
                    <a:noFill/>
                    <a:ln>
                      <a:noFill/>
                    </a:ln>
                  </pic:spPr>
                </pic:pic>
              </a:graphicData>
            </a:graphic>
          </wp:inline>
        </w:drawing>
      </w:r>
    </w:p>
    <w:p w14:paraId="740E818C" w14:textId="77777777" w:rsidR="003A3A36" w:rsidRDefault="003A3A36" w:rsidP="00646CF0">
      <w:pPr>
        <w:rPr>
          <w:lang w:eastAsia="es-ES"/>
        </w:rPr>
      </w:pPr>
    </w:p>
    <w:p w14:paraId="14CE150C" w14:textId="6285324C" w:rsidR="003A3A36" w:rsidRDefault="009940BD" w:rsidP="009940BD">
      <w:pPr>
        <w:pStyle w:val="Cita"/>
        <w:ind w:left="0"/>
        <w:rPr>
          <w:lang w:eastAsia="es-ES"/>
        </w:rPr>
      </w:pPr>
      <w:r w:rsidRPr="009940BD">
        <w:rPr>
          <w:lang w:eastAsia="es-ES"/>
        </w:rPr>
        <w:t>Conforme a lo anterior, se tienen las siguientes cifras confrontando las resoluciones CREG 099 y 231 de 2021 con la Resolución objeto del presente recurso:</w:t>
      </w:r>
    </w:p>
    <w:p w14:paraId="4342A605" w14:textId="77777777" w:rsidR="005D7793" w:rsidRDefault="005D7793" w:rsidP="005D7793">
      <w:pPr>
        <w:rPr>
          <w:lang w:eastAsia="es-ES"/>
        </w:rPr>
      </w:pPr>
    </w:p>
    <w:p w14:paraId="52F97AD4" w14:textId="6A52853A" w:rsidR="005D7793" w:rsidRDefault="005D7793" w:rsidP="005D7793">
      <w:pPr>
        <w:rPr>
          <w:lang w:eastAsia="es-ES"/>
        </w:rPr>
      </w:pPr>
      <w:r w:rsidRPr="005D7793">
        <w:rPr>
          <w:noProof/>
          <w:lang w:eastAsia="es-ES"/>
        </w:rPr>
        <w:drawing>
          <wp:inline distT="0" distB="0" distL="0" distR="0" wp14:anchorId="7D992A0D" wp14:editId="5498B673">
            <wp:extent cx="5941060" cy="12604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1260475"/>
                    </a:xfrm>
                    <a:prstGeom prst="rect">
                      <a:avLst/>
                    </a:prstGeom>
                    <a:noFill/>
                    <a:ln>
                      <a:noFill/>
                    </a:ln>
                  </pic:spPr>
                </pic:pic>
              </a:graphicData>
            </a:graphic>
          </wp:inline>
        </w:drawing>
      </w:r>
    </w:p>
    <w:p w14:paraId="63C4FFEB" w14:textId="77777777" w:rsidR="005D7793" w:rsidRDefault="005D7793" w:rsidP="005D7793">
      <w:pPr>
        <w:rPr>
          <w:lang w:eastAsia="es-ES"/>
        </w:rPr>
      </w:pPr>
    </w:p>
    <w:p w14:paraId="449FCF44" w14:textId="77777777" w:rsidR="005D7793" w:rsidRPr="005D7793" w:rsidRDefault="005D7793" w:rsidP="005D7793">
      <w:pPr>
        <w:pStyle w:val="Cita"/>
      </w:pPr>
      <w:r w:rsidRPr="005D7793">
        <w:t xml:space="preserve">Como se puede evidenciar existente una diferencia de 3 dólares en los valores, la cual debe ser modificada en el Anexo 4 de la Resolución CREG 502 024 de 2022. </w:t>
      </w:r>
    </w:p>
    <w:p w14:paraId="26B824F8" w14:textId="41DF32A4" w:rsidR="005D7793" w:rsidRDefault="005D7793" w:rsidP="005D7793">
      <w:pPr>
        <w:pStyle w:val="Cita"/>
      </w:pPr>
      <w:r w:rsidRPr="005D7793">
        <w:lastRenderedPageBreak/>
        <w:t>De otra parte, a continuación, mostramos la información mencionada anteriormente y los valores a retirar y adicionar contenidos en la Resolución CREG 502 024 de 2022, para realizar el cálculo tarifario del tramo estampilla ramales para la pareja de cargos 100-0 y 0-100.</w:t>
      </w:r>
    </w:p>
    <w:p w14:paraId="0C9DA891" w14:textId="77777777" w:rsidR="005A6D58" w:rsidRPr="005A6D58" w:rsidRDefault="005A6D58" w:rsidP="005A6D58"/>
    <w:p w14:paraId="235D5D63" w14:textId="5FF16810" w:rsidR="00477282" w:rsidRDefault="00477282" w:rsidP="00477282">
      <w:r w:rsidRPr="00477282">
        <w:rPr>
          <w:noProof/>
        </w:rPr>
        <w:drawing>
          <wp:inline distT="0" distB="0" distL="0" distR="0" wp14:anchorId="49F57B67" wp14:editId="2A4002A6">
            <wp:extent cx="5941060" cy="4222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060" cy="422275"/>
                    </a:xfrm>
                    <a:prstGeom prst="rect">
                      <a:avLst/>
                    </a:prstGeom>
                    <a:noFill/>
                    <a:ln>
                      <a:noFill/>
                    </a:ln>
                  </pic:spPr>
                </pic:pic>
              </a:graphicData>
            </a:graphic>
          </wp:inline>
        </w:drawing>
      </w:r>
    </w:p>
    <w:p w14:paraId="16F0F245" w14:textId="43A9A6E2" w:rsidR="00A530FB" w:rsidRDefault="00A530FB" w:rsidP="005734A1">
      <w:pPr>
        <w:pStyle w:val="Cita"/>
      </w:pPr>
      <w:r>
        <w:t>Al comparar los cargos obtenidos siguiendo esta metodología se encuentra una diferencia con la propuesta de la CREG así:</w:t>
      </w:r>
    </w:p>
    <w:p w14:paraId="56019A0F" w14:textId="77777777" w:rsidR="00A530FB" w:rsidRDefault="00A530FB" w:rsidP="00477282"/>
    <w:p w14:paraId="3DEFBFFC" w14:textId="734A89BB" w:rsidR="00A530FB" w:rsidRDefault="00A530FB" w:rsidP="005734A1">
      <w:pPr>
        <w:pStyle w:val="Cita"/>
      </w:pPr>
      <w:r w:rsidRPr="00A530FB">
        <w:rPr>
          <w:noProof/>
        </w:rPr>
        <w:drawing>
          <wp:inline distT="0" distB="0" distL="0" distR="0" wp14:anchorId="78C8021A" wp14:editId="704B4765">
            <wp:extent cx="5353582" cy="13755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7338" cy="1376554"/>
                    </a:xfrm>
                    <a:prstGeom prst="rect">
                      <a:avLst/>
                    </a:prstGeom>
                    <a:noFill/>
                    <a:ln>
                      <a:noFill/>
                    </a:ln>
                  </pic:spPr>
                </pic:pic>
              </a:graphicData>
            </a:graphic>
          </wp:inline>
        </w:drawing>
      </w:r>
    </w:p>
    <w:p w14:paraId="39ECEE7E" w14:textId="77777777" w:rsidR="005A6D58" w:rsidRDefault="005A6D58" w:rsidP="005734A1">
      <w:pPr>
        <w:pStyle w:val="Cita"/>
        <w:rPr>
          <w:sz w:val="20"/>
          <w:szCs w:val="20"/>
        </w:rPr>
      </w:pPr>
    </w:p>
    <w:p w14:paraId="496625BE" w14:textId="175884D7" w:rsidR="00A530FB" w:rsidRDefault="005734A1" w:rsidP="005734A1">
      <w:pPr>
        <w:pStyle w:val="Cita"/>
        <w:rPr>
          <w:sz w:val="20"/>
          <w:szCs w:val="20"/>
        </w:rPr>
      </w:pPr>
      <w:r>
        <w:rPr>
          <w:sz w:val="20"/>
          <w:szCs w:val="20"/>
        </w:rPr>
        <w:t>Teniendo en cuenta lo anterior TGI S.A. ESP solicitará a la Comisión la reposición parcial de la Resolución CREG 502 024 de 2022, para modificar y ajustar los cargos para la estampilla ramales.</w:t>
      </w:r>
    </w:p>
    <w:p w14:paraId="1EB1FF9E" w14:textId="508CB0DB" w:rsidR="005734A1" w:rsidRDefault="00C61C2E" w:rsidP="005734A1">
      <w:r>
        <w:t>(…)</w:t>
      </w:r>
    </w:p>
    <w:p w14:paraId="2F9DBCAA" w14:textId="77777777" w:rsidR="00C61C2E" w:rsidRDefault="00C61C2E" w:rsidP="005734A1"/>
    <w:p w14:paraId="1AFE1B62" w14:textId="77777777" w:rsidR="00C61C2E" w:rsidRPr="00C61C2E" w:rsidRDefault="00C61C2E" w:rsidP="00C61C2E">
      <w:pPr>
        <w:autoSpaceDE w:val="0"/>
        <w:autoSpaceDN w:val="0"/>
        <w:adjustRightInd w:val="0"/>
        <w:spacing w:after="0"/>
        <w:contextualSpacing w:val="0"/>
        <w:rPr>
          <w:rFonts w:ascii="Arial" w:hAnsi="Arial" w:cs="Arial"/>
          <w:color w:val="000000"/>
          <w:szCs w:val="24"/>
        </w:rPr>
      </w:pPr>
    </w:p>
    <w:p w14:paraId="216D34DA" w14:textId="60DB9660" w:rsidR="00C61C2E" w:rsidRPr="00C61C2E" w:rsidRDefault="00C61C2E" w:rsidP="001A3546">
      <w:pPr>
        <w:pStyle w:val="Cita"/>
        <w:numPr>
          <w:ilvl w:val="0"/>
          <w:numId w:val="9"/>
        </w:numPr>
      </w:pPr>
      <w:r w:rsidRPr="00C61C2E">
        <w:t xml:space="preserve">Solicitud </w:t>
      </w:r>
    </w:p>
    <w:p w14:paraId="75915626" w14:textId="77777777" w:rsidR="00C61C2E" w:rsidRPr="00C61C2E" w:rsidRDefault="00C61C2E" w:rsidP="00C61C2E">
      <w:pPr>
        <w:pStyle w:val="Cita"/>
      </w:pPr>
      <w:r w:rsidRPr="00C61C2E">
        <w:t xml:space="preserve">Con fundamento en lo anterior, TGI S.A. ESP solicita a la Comisión de la manera más respetuosa: </w:t>
      </w:r>
    </w:p>
    <w:p w14:paraId="63A2F088" w14:textId="6324D922" w:rsidR="00C61C2E" w:rsidRPr="00C61C2E" w:rsidRDefault="00C61C2E" w:rsidP="001A3546">
      <w:pPr>
        <w:pStyle w:val="Cita"/>
        <w:numPr>
          <w:ilvl w:val="0"/>
          <w:numId w:val="9"/>
        </w:numPr>
      </w:pPr>
      <w:r w:rsidRPr="00C61C2E">
        <w:t xml:space="preserve">Se reponga para modificar parcialmente el artículo 4 de la Resolución 502 024 de 2022 en el sentido de modificar las tarifas de la estampilla para gasoductos ramales respecto a las parejas de cargos, a fin de ajustarlas, para lo cual se debe considerarlos siguientes valores (en rojo), o los que se encuentren probados con base en lo expuesto en este recurso: </w:t>
      </w:r>
    </w:p>
    <w:p w14:paraId="266F2316" w14:textId="319929C6" w:rsidR="005734A1" w:rsidRDefault="005332F1" w:rsidP="00FA73E2">
      <w:pPr>
        <w:jc w:val="center"/>
      </w:pPr>
      <w:r w:rsidRPr="005332F1">
        <w:rPr>
          <w:noProof/>
        </w:rPr>
        <w:drawing>
          <wp:inline distT="0" distB="0" distL="0" distR="0" wp14:anchorId="0230156C" wp14:editId="0E71E92A">
            <wp:extent cx="5009619" cy="1014667"/>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1055" cy="1016983"/>
                    </a:xfrm>
                    <a:prstGeom prst="rect">
                      <a:avLst/>
                    </a:prstGeom>
                    <a:noFill/>
                    <a:ln>
                      <a:noFill/>
                    </a:ln>
                  </pic:spPr>
                </pic:pic>
              </a:graphicData>
            </a:graphic>
          </wp:inline>
        </w:drawing>
      </w:r>
    </w:p>
    <w:p w14:paraId="75E1C412" w14:textId="77777777" w:rsidR="005332F1" w:rsidRPr="005332F1" w:rsidRDefault="005332F1" w:rsidP="005332F1">
      <w:pPr>
        <w:pStyle w:val="Cita"/>
      </w:pPr>
    </w:p>
    <w:p w14:paraId="712BDE59" w14:textId="17AADBA6" w:rsidR="005332F1" w:rsidRDefault="005332F1" w:rsidP="001A3546">
      <w:pPr>
        <w:pStyle w:val="Cita"/>
        <w:numPr>
          <w:ilvl w:val="0"/>
          <w:numId w:val="9"/>
        </w:numPr>
        <w:rPr>
          <w:sz w:val="20"/>
          <w:szCs w:val="20"/>
        </w:rPr>
      </w:pPr>
      <w:r w:rsidRPr="005332F1">
        <w:rPr>
          <w:b/>
          <w:bCs/>
          <w:sz w:val="20"/>
          <w:szCs w:val="20"/>
        </w:rPr>
        <w:t xml:space="preserve">Se reponga para modificar parcialmente </w:t>
      </w:r>
      <w:r w:rsidRPr="005332F1">
        <w:rPr>
          <w:sz w:val="20"/>
          <w:szCs w:val="20"/>
        </w:rPr>
        <w:t xml:space="preserve">el anexo 4 de la Resolución 502 024 de 2022 en el sentido de modificar los valores a retirar y adicionar en los gasoductos </w:t>
      </w:r>
      <w:r w:rsidR="002E7339" w:rsidRPr="002E7339">
        <w:rPr>
          <w:sz w:val="20"/>
          <w:szCs w:val="20"/>
        </w:rPr>
        <w:t>ramales de TGI, a fin de ajustarlos a los siguientes valores (en rojo), o los que se encuentren probados con base en lo expuesto en este recurso:</w:t>
      </w:r>
    </w:p>
    <w:p w14:paraId="607BA92A" w14:textId="7EBB7377" w:rsidR="002E7339" w:rsidRPr="002E7339" w:rsidRDefault="002E7339" w:rsidP="00FA73E2">
      <w:pPr>
        <w:jc w:val="center"/>
      </w:pPr>
      <w:r w:rsidRPr="002E7339">
        <w:rPr>
          <w:noProof/>
        </w:rPr>
        <w:drawing>
          <wp:inline distT="0" distB="0" distL="0" distR="0" wp14:anchorId="731AA9A9" wp14:editId="491C014A">
            <wp:extent cx="5077744" cy="992646"/>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0212" cy="995083"/>
                    </a:xfrm>
                    <a:prstGeom prst="rect">
                      <a:avLst/>
                    </a:prstGeom>
                    <a:noFill/>
                    <a:ln>
                      <a:noFill/>
                    </a:ln>
                  </pic:spPr>
                </pic:pic>
              </a:graphicData>
            </a:graphic>
          </wp:inline>
        </w:drawing>
      </w:r>
    </w:p>
    <w:p w14:paraId="168077BB" w14:textId="77777777" w:rsidR="005332F1" w:rsidRPr="005734A1" w:rsidRDefault="005332F1" w:rsidP="005734A1"/>
    <w:p w14:paraId="4ED4D352" w14:textId="0DB8B630" w:rsidR="00755FA9" w:rsidRPr="00755FA9" w:rsidRDefault="004267E3" w:rsidP="007C50B9">
      <w:pPr>
        <w:pStyle w:val="Tit1"/>
        <w:numPr>
          <w:ilvl w:val="2"/>
          <w:numId w:val="7"/>
        </w:numPr>
        <w:ind w:left="567"/>
      </w:pPr>
      <w:r>
        <w:lastRenderedPageBreak/>
        <w:t>Análisis Recurso</w:t>
      </w:r>
      <w:r w:rsidR="002E7339">
        <w:t xml:space="preserve"> TGI</w:t>
      </w:r>
    </w:p>
    <w:p w14:paraId="4AF24258" w14:textId="77777777" w:rsidR="003E576E" w:rsidRDefault="003E576E" w:rsidP="00BB6C39">
      <w:pPr>
        <w:pStyle w:val="Textoindependiente2"/>
        <w:spacing w:after="0" w:line="240" w:lineRule="auto"/>
        <w:ind w:left="0"/>
        <w:jc w:val="both"/>
        <w:rPr>
          <w:rFonts w:ascii="Bookman Old Style" w:hAnsi="Bookman Old Style"/>
          <w:lang w:val="es-CO"/>
        </w:rPr>
      </w:pPr>
    </w:p>
    <w:p w14:paraId="69EF29BD" w14:textId="6B7DFE60" w:rsidR="003E576E" w:rsidRDefault="003E576E" w:rsidP="007C50B9">
      <w:pPr>
        <w:pStyle w:val="Tit1"/>
        <w:numPr>
          <w:ilvl w:val="3"/>
          <w:numId w:val="7"/>
        </w:numPr>
        <w:ind w:left="709"/>
      </w:pPr>
      <w:r>
        <w:t>Sobre la diferencia de 3 USD en la base de activos</w:t>
      </w:r>
      <w:r w:rsidR="00F36FB8">
        <w:t xml:space="preserve"> ramales</w:t>
      </w:r>
    </w:p>
    <w:p w14:paraId="454A9139" w14:textId="77777777" w:rsidR="002D3EF4" w:rsidRDefault="002D3EF4" w:rsidP="00B55C9E"/>
    <w:p w14:paraId="3B8E9293" w14:textId="5B1D0849" w:rsidR="00DF59A2" w:rsidRDefault="00FE3265" w:rsidP="00E20109">
      <w:pPr>
        <w:jc w:val="both"/>
      </w:pPr>
      <w:r>
        <w:t>Al respecto</w:t>
      </w:r>
      <w:r w:rsidR="005C72C6">
        <w:t>,</w:t>
      </w:r>
      <w:r>
        <w:t xml:space="preserve"> </w:t>
      </w:r>
      <w:r w:rsidR="004408D7">
        <w:t>para</w:t>
      </w:r>
      <w:r>
        <w:t xml:space="preserve"> comparar </w:t>
      </w:r>
      <w:r w:rsidR="00ED3C2C">
        <w:t>los valores incluidos en las resoluciones CREG 099</w:t>
      </w:r>
      <w:r w:rsidR="00E044A6">
        <w:t xml:space="preserve"> de </w:t>
      </w:r>
      <w:r w:rsidR="00ED3C2C">
        <w:t xml:space="preserve">2021, CREG 231 de 2021 y </w:t>
      </w:r>
      <w:r w:rsidR="00620B2F" w:rsidRPr="00030DA4">
        <w:t>CREG 502-024</w:t>
      </w:r>
      <w:r w:rsidR="00620B2F">
        <w:t xml:space="preserve"> </w:t>
      </w:r>
      <w:r w:rsidR="00E044A6">
        <w:t>de 2022</w:t>
      </w:r>
      <w:r w:rsidR="005C72C6">
        <w:t>,</w:t>
      </w:r>
      <w:r w:rsidR="00E044A6">
        <w:t xml:space="preserve"> </w:t>
      </w:r>
      <w:r w:rsidR="006041DE">
        <w:t xml:space="preserve">incluyendo los </w:t>
      </w:r>
      <w:r w:rsidR="00090C56">
        <w:t xml:space="preserve">valores </w:t>
      </w:r>
      <w:r w:rsidR="009F47CB">
        <w:t xml:space="preserve">de los </w:t>
      </w:r>
      <w:r w:rsidR="006041DE">
        <w:t xml:space="preserve">activos que </w:t>
      </w:r>
      <w:r w:rsidR="009F47CB">
        <w:t>repuso TGI</w:t>
      </w:r>
      <w:r w:rsidR="008967F1">
        <w:t>,</w:t>
      </w:r>
      <w:r w:rsidR="006041DE">
        <w:t xml:space="preserve"> </w:t>
      </w:r>
      <w:r w:rsidR="004041FA">
        <w:t xml:space="preserve">se estructuró </w:t>
      </w:r>
      <w:r w:rsidR="006041DE">
        <w:t xml:space="preserve">la </w:t>
      </w:r>
      <w:r w:rsidR="008967F1">
        <w:fldChar w:fldCharType="begin"/>
      </w:r>
      <w:r w:rsidR="008967F1">
        <w:instrText xml:space="preserve"> REF _Ref118450636 \h </w:instrText>
      </w:r>
      <w:r w:rsidR="008967F1">
        <w:fldChar w:fldCharType="separate"/>
      </w:r>
      <w:r w:rsidR="006263D4">
        <w:t xml:space="preserve">Tabla </w:t>
      </w:r>
      <w:r w:rsidR="006263D4">
        <w:rPr>
          <w:noProof/>
        </w:rPr>
        <w:t>2</w:t>
      </w:r>
      <w:r w:rsidR="008967F1">
        <w:fldChar w:fldCharType="end"/>
      </w:r>
      <w:r w:rsidR="005C72C6">
        <w:t>,</w:t>
      </w:r>
      <w:r w:rsidR="004041FA">
        <w:t xml:space="preserve"> que incluye los valores con </w:t>
      </w:r>
      <w:r w:rsidR="00B378FB">
        <w:t xml:space="preserve">cuatro </w:t>
      </w:r>
      <w:r w:rsidR="004041FA">
        <w:t>decimales</w:t>
      </w:r>
      <w:r w:rsidR="008900C5">
        <w:t xml:space="preserve"> </w:t>
      </w:r>
      <w:r w:rsidR="000375FD">
        <w:t xml:space="preserve">de la </w:t>
      </w:r>
      <w:r w:rsidR="00F77E43">
        <w:t>resta</w:t>
      </w:r>
      <w:r w:rsidR="000375FD">
        <w:t xml:space="preserve"> en</w:t>
      </w:r>
      <w:r w:rsidR="007456CA">
        <w:t xml:space="preserve">tre </w:t>
      </w:r>
      <w:r w:rsidR="00AA755E">
        <w:t xml:space="preserve">los valores </w:t>
      </w:r>
      <w:r w:rsidR="00FB5C9C">
        <w:t xml:space="preserve">a retirar y a </w:t>
      </w:r>
      <w:r w:rsidR="00F50570">
        <w:t xml:space="preserve">adicionar </w:t>
      </w:r>
      <w:r w:rsidR="002B409D">
        <w:t xml:space="preserve">de los gasoductos ramales </w:t>
      </w:r>
      <w:r w:rsidR="00AA755E">
        <w:t xml:space="preserve">consignados en </w:t>
      </w:r>
      <w:r w:rsidR="007456CA">
        <w:t>las resoluciones citadas</w:t>
      </w:r>
      <w:r w:rsidR="002F51DA">
        <w:t>.</w:t>
      </w:r>
    </w:p>
    <w:p w14:paraId="0FFC4DEC" w14:textId="4DCE2977" w:rsidR="00613A00" w:rsidRPr="005C72C6" w:rsidRDefault="00613A00" w:rsidP="001A3546">
      <w:pPr>
        <w:pStyle w:val="Descripcin"/>
        <w:keepNext/>
        <w:jc w:val="left"/>
        <w:rPr>
          <w:lang w:val="es-CO"/>
        </w:rPr>
      </w:pPr>
    </w:p>
    <w:tbl>
      <w:tblPr>
        <w:tblW w:w="5000" w:type="pct"/>
        <w:tblCellMar>
          <w:left w:w="70" w:type="dxa"/>
          <w:right w:w="70" w:type="dxa"/>
        </w:tblCellMar>
        <w:tblLook w:val="04A0" w:firstRow="1" w:lastRow="0" w:firstColumn="1" w:lastColumn="0" w:noHBand="0" w:noVBand="1"/>
      </w:tblPr>
      <w:tblGrid>
        <w:gridCol w:w="2462"/>
        <w:gridCol w:w="1594"/>
        <w:gridCol w:w="947"/>
        <w:gridCol w:w="878"/>
        <w:gridCol w:w="946"/>
        <w:gridCol w:w="1185"/>
        <w:gridCol w:w="1344"/>
      </w:tblGrid>
      <w:tr w:rsidR="00613A00" w:rsidRPr="009D469F" w14:paraId="171E95D4" w14:textId="77777777" w:rsidTr="00613A00">
        <w:trPr>
          <w:trHeight w:val="285"/>
          <w:tblHeader/>
        </w:trPr>
        <w:tc>
          <w:tcPr>
            <w:tcW w:w="5000" w:type="pct"/>
            <w:gridSpan w:val="7"/>
            <w:tcBorders>
              <w:top w:val="nil"/>
              <w:left w:val="nil"/>
              <w:bottom w:val="nil"/>
              <w:right w:val="nil"/>
            </w:tcBorders>
            <w:shd w:val="clear" w:color="auto" w:fill="auto"/>
            <w:noWrap/>
            <w:vAlign w:val="bottom"/>
          </w:tcPr>
          <w:p w14:paraId="17905521" w14:textId="246D445B" w:rsidR="00613A00" w:rsidRPr="009D469F" w:rsidRDefault="00613A00" w:rsidP="001A3546">
            <w:pPr>
              <w:spacing w:after="0"/>
              <w:contextualSpacing w:val="0"/>
              <w:jc w:val="center"/>
              <w:rPr>
                <w:rFonts w:ascii="Times New Roman" w:eastAsia="Times New Roman" w:hAnsi="Times New Roman" w:cs="Times New Roman"/>
                <w:sz w:val="14"/>
                <w:szCs w:val="14"/>
                <w:lang w:eastAsia="es-CO"/>
              </w:rPr>
            </w:pPr>
            <w:bookmarkStart w:id="4" w:name="_Ref118450636"/>
            <w:r>
              <w:t xml:space="preserve">Tabla </w:t>
            </w:r>
            <w:r w:rsidR="00D42104">
              <w:fldChar w:fldCharType="begin"/>
            </w:r>
            <w:r w:rsidR="00D42104">
              <w:instrText xml:space="preserve"> SEQ Tabla \* A</w:instrText>
            </w:r>
            <w:r w:rsidR="00D42104">
              <w:instrText xml:space="preserve">RABIC </w:instrText>
            </w:r>
            <w:r w:rsidR="00D42104">
              <w:fldChar w:fldCharType="separate"/>
            </w:r>
            <w:r w:rsidR="006263D4">
              <w:rPr>
                <w:noProof/>
              </w:rPr>
              <w:t>2</w:t>
            </w:r>
            <w:r w:rsidR="00D42104">
              <w:rPr>
                <w:noProof/>
              </w:rPr>
              <w:fldChar w:fldCharType="end"/>
            </w:r>
            <w:bookmarkEnd w:id="4"/>
            <w:r>
              <w:t xml:space="preserve"> </w:t>
            </w:r>
            <w:r w:rsidRPr="00765661">
              <w:t>Comparativo Resoluciones CREG 099 de 2021, CREG 231 de 2021 y CREG 502-024 de 2022</w:t>
            </w:r>
          </w:p>
        </w:tc>
      </w:tr>
      <w:tr w:rsidR="00CB6E3B" w:rsidRPr="00CB6E3B" w14:paraId="00E6D25F" w14:textId="77777777" w:rsidTr="0064607E">
        <w:trPr>
          <w:trHeight w:val="285"/>
          <w:tblHeader/>
        </w:trPr>
        <w:tc>
          <w:tcPr>
            <w:tcW w:w="1332" w:type="pct"/>
            <w:tcBorders>
              <w:top w:val="nil"/>
              <w:left w:val="nil"/>
              <w:bottom w:val="nil"/>
              <w:right w:val="nil"/>
            </w:tcBorders>
            <w:shd w:val="clear" w:color="auto" w:fill="auto"/>
            <w:noWrap/>
            <w:vAlign w:val="bottom"/>
            <w:hideMark/>
          </w:tcPr>
          <w:p w14:paraId="71997D41" w14:textId="77777777" w:rsidR="00D3268E" w:rsidRPr="009D469F" w:rsidRDefault="00D3268E" w:rsidP="00D3268E">
            <w:pPr>
              <w:spacing w:after="0"/>
              <w:contextualSpacing w:val="0"/>
              <w:jc w:val="center"/>
              <w:rPr>
                <w:rFonts w:ascii="Calibri" w:eastAsia="Times New Roman" w:hAnsi="Calibri" w:cs="Calibri"/>
                <w:sz w:val="14"/>
                <w:szCs w:val="14"/>
                <w:lang w:eastAsia="es-CO"/>
              </w:rPr>
            </w:pPr>
          </w:p>
        </w:tc>
        <w:tc>
          <w:tcPr>
            <w:tcW w:w="1355" w:type="pct"/>
            <w:gridSpan w:val="2"/>
            <w:tcBorders>
              <w:top w:val="nil"/>
              <w:left w:val="nil"/>
              <w:bottom w:val="nil"/>
              <w:right w:val="nil"/>
            </w:tcBorders>
            <w:shd w:val="clear" w:color="000000" w:fill="70AD47"/>
            <w:noWrap/>
            <w:vAlign w:val="bottom"/>
            <w:hideMark/>
          </w:tcPr>
          <w:p w14:paraId="167FE62A" w14:textId="3A1B583F" w:rsidR="00D3268E" w:rsidRPr="00C9763D" w:rsidRDefault="00D3268E" w:rsidP="00D3268E">
            <w:pPr>
              <w:spacing w:after="0"/>
              <w:contextualSpacing w:val="0"/>
              <w:jc w:val="center"/>
              <w:rPr>
                <w:rFonts w:ascii="Calibri" w:eastAsia="Times New Roman" w:hAnsi="Calibri" w:cs="Calibri"/>
                <w:b/>
                <w:color w:val="FFFFFF" w:themeColor="background1"/>
                <w:sz w:val="14"/>
                <w:szCs w:val="14"/>
                <w:lang w:eastAsia="es-CO"/>
              </w:rPr>
            </w:pPr>
            <w:r w:rsidRPr="00C9763D">
              <w:rPr>
                <w:rFonts w:ascii="Calibri" w:eastAsia="Times New Roman" w:hAnsi="Calibri" w:cs="Calibri"/>
                <w:b/>
                <w:color w:val="FFFFFF" w:themeColor="background1"/>
                <w:sz w:val="14"/>
                <w:szCs w:val="14"/>
                <w:lang w:eastAsia="es-CO"/>
              </w:rPr>
              <w:t xml:space="preserve">CREG 099-2021 y </w:t>
            </w:r>
            <w:r w:rsidR="00607CA7" w:rsidRPr="00C9763D">
              <w:rPr>
                <w:rFonts w:ascii="Calibri" w:eastAsia="Times New Roman" w:hAnsi="Calibri" w:cs="Calibri"/>
                <w:b/>
                <w:color w:val="FFFFFF" w:themeColor="background1"/>
                <w:sz w:val="14"/>
                <w:szCs w:val="14"/>
                <w:lang w:eastAsia="es-CO"/>
              </w:rPr>
              <w:t>231</w:t>
            </w:r>
            <w:r w:rsidRPr="00C9763D">
              <w:rPr>
                <w:rFonts w:ascii="Calibri" w:eastAsia="Times New Roman" w:hAnsi="Calibri" w:cs="Calibri"/>
                <w:b/>
                <w:color w:val="FFFFFF" w:themeColor="background1"/>
                <w:sz w:val="14"/>
                <w:szCs w:val="14"/>
                <w:lang w:eastAsia="es-CO"/>
              </w:rPr>
              <w:t>-2021</w:t>
            </w:r>
          </w:p>
        </w:tc>
        <w:tc>
          <w:tcPr>
            <w:tcW w:w="962" w:type="pct"/>
            <w:gridSpan w:val="2"/>
            <w:tcBorders>
              <w:top w:val="nil"/>
              <w:left w:val="nil"/>
              <w:bottom w:val="nil"/>
              <w:right w:val="nil"/>
            </w:tcBorders>
            <w:shd w:val="clear" w:color="000000" w:fill="5B9BD5"/>
            <w:noWrap/>
            <w:vAlign w:val="bottom"/>
            <w:hideMark/>
          </w:tcPr>
          <w:p w14:paraId="43AD8F5B" w14:textId="77777777" w:rsidR="00D3268E" w:rsidRPr="00C9763D" w:rsidRDefault="00D3268E" w:rsidP="00D3268E">
            <w:pPr>
              <w:spacing w:after="0"/>
              <w:contextualSpacing w:val="0"/>
              <w:jc w:val="center"/>
              <w:rPr>
                <w:rFonts w:ascii="Calibri" w:eastAsia="Times New Roman" w:hAnsi="Calibri" w:cs="Calibri"/>
                <w:b/>
                <w:color w:val="FFFFFF" w:themeColor="background1"/>
                <w:sz w:val="14"/>
                <w:szCs w:val="14"/>
                <w:lang w:eastAsia="es-CO"/>
              </w:rPr>
            </w:pPr>
            <w:proofErr w:type="gramStart"/>
            <w:r w:rsidRPr="00C9763D">
              <w:rPr>
                <w:rFonts w:ascii="Calibri" w:eastAsia="Times New Roman" w:hAnsi="Calibri" w:cs="Calibri"/>
                <w:b/>
                <w:color w:val="FFFFFF" w:themeColor="background1"/>
                <w:sz w:val="14"/>
                <w:szCs w:val="14"/>
                <w:lang w:eastAsia="es-CO"/>
              </w:rPr>
              <w:t>Valores a retirar</w:t>
            </w:r>
            <w:proofErr w:type="gramEnd"/>
            <w:r w:rsidRPr="00C9763D">
              <w:rPr>
                <w:rFonts w:ascii="Calibri" w:eastAsia="Times New Roman" w:hAnsi="Calibri" w:cs="Calibri"/>
                <w:b/>
                <w:color w:val="FFFFFF" w:themeColor="background1"/>
                <w:sz w:val="14"/>
                <w:szCs w:val="14"/>
                <w:lang w:eastAsia="es-CO"/>
              </w:rPr>
              <w:t xml:space="preserve"> 502-024</w:t>
            </w:r>
          </w:p>
        </w:tc>
        <w:tc>
          <w:tcPr>
            <w:tcW w:w="631" w:type="pct"/>
            <w:tcBorders>
              <w:top w:val="nil"/>
              <w:left w:val="nil"/>
              <w:bottom w:val="nil"/>
              <w:right w:val="nil"/>
            </w:tcBorders>
            <w:shd w:val="clear" w:color="auto" w:fill="auto"/>
            <w:noWrap/>
            <w:vAlign w:val="bottom"/>
            <w:hideMark/>
          </w:tcPr>
          <w:p w14:paraId="74617570" w14:textId="77777777" w:rsidR="00D3268E" w:rsidRPr="009D469F" w:rsidRDefault="00D3268E" w:rsidP="00D3268E">
            <w:pPr>
              <w:spacing w:after="0"/>
              <w:contextualSpacing w:val="0"/>
              <w:jc w:val="center"/>
              <w:rPr>
                <w:rFonts w:ascii="Calibri" w:eastAsia="Times New Roman" w:hAnsi="Calibri" w:cs="Calibri"/>
                <w:sz w:val="14"/>
                <w:szCs w:val="14"/>
                <w:lang w:eastAsia="es-CO"/>
              </w:rPr>
            </w:pPr>
          </w:p>
        </w:tc>
        <w:tc>
          <w:tcPr>
            <w:tcW w:w="719" w:type="pct"/>
            <w:tcBorders>
              <w:top w:val="nil"/>
              <w:left w:val="nil"/>
              <w:bottom w:val="nil"/>
              <w:right w:val="nil"/>
            </w:tcBorders>
            <w:shd w:val="clear" w:color="auto" w:fill="auto"/>
            <w:noWrap/>
            <w:vAlign w:val="bottom"/>
            <w:hideMark/>
          </w:tcPr>
          <w:p w14:paraId="59E352A8" w14:textId="77777777" w:rsidR="00D3268E" w:rsidRPr="00D3268E" w:rsidRDefault="00D3268E" w:rsidP="00D3268E">
            <w:pPr>
              <w:spacing w:after="0"/>
              <w:contextualSpacing w:val="0"/>
              <w:rPr>
                <w:rFonts w:ascii="Times New Roman" w:eastAsia="Times New Roman" w:hAnsi="Times New Roman" w:cs="Times New Roman"/>
                <w:sz w:val="14"/>
                <w:szCs w:val="14"/>
                <w:lang w:eastAsia="es-CO"/>
              </w:rPr>
            </w:pPr>
          </w:p>
        </w:tc>
      </w:tr>
      <w:tr w:rsidR="00DF59A2" w:rsidRPr="00CB6E3B" w14:paraId="6895C953" w14:textId="77777777" w:rsidTr="00241CAF">
        <w:trPr>
          <w:trHeight w:val="285"/>
          <w:tblHeader/>
        </w:trPr>
        <w:tc>
          <w:tcPr>
            <w:tcW w:w="1332" w:type="pct"/>
            <w:tcBorders>
              <w:top w:val="single" w:sz="4" w:space="0" w:color="5B9BD5"/>
              <w:left w:val="single" w:sz="4" w:space="0" w:color="5B9BD5"/>
              <w:bottom w:val="single" w:sz="8" w:space="0" w:color="5B9BD5"/>
              <w:right w:val="single" w:sz="4" w:space="0" w:color="5B9BD5"/>
            </w:tcBorders>
            <w:shd w:val="clear" w:color="000000" w:fill="E7E6E6"/>
            <w:noWrap/>
            <w:vAlign w:val="bottom"/>
            <w:hideMark/>
          </w:tcPr>
          <w:p w14:paraId="32214A19" w14:textId="77777777" w:rsidR="00D3268E" w:rsidRPr="00D3268E" w:rsidRDefault="00D3268E" w:rsidP="00D3268E">
            <w:pPr>
              <w:spacing w:after="0"/>
              <w:contextualSpacing w:val="0"/>
              <w:rPr>
                <w:rFonts w:ascii="Calibri" w:eastAsia="Times New Roman" w:hAnsi="Calibri" w:cs="Calibri"/>
                <w:b/>
                <w:bCs/>
                <w:sz w:val="14"/>
                <w:szCs w:val="14"/>
                <w:lang w:eastAsia="es-CO"/>
              </w:rPr>
            </w:pPr>
            <w:r w:rsidRPr="00D3268E">
              <w:rPr>
                <w:rFonts w:ascii="Calibri" w:eastAsia="Times New Roman" w:hAnsi="Calibri" w:cs="Calibri"/>
                <w:b/>
                <w:bCs/>
                <w:sz w:val="14"/>
                <w:szCs w:val="14"/>
                <w:lang w:eastAsia="es-CO"/>
              </w:rPr>
              <w:t xml:space="preserve"> Ramales [ USD de diciembre 31 de </w:t>
            </w:r>
            <w:proofErr w:type="gramStart"/>
            <w:r w:rsidRPr="00D3268E">
              <w:rPr>
                <w:rFonts w:ascii="Calibri" w:eastAsia="Times New Roman" w:hAnsi="Calibri" w:cs="Calibri"/>
                <w:b/>
                <w:bCs/>
                <w:sz w:val="14"/>
                <w:szCs w:val="14"/>
                <w:lang w:eastAsia="es-CO"/>
              </w:rPr>
              <w:t>2009 ]</w:t>
            </w:r>
            <w:proofErr w:type="gramEnd"/>
            <w:r w:rsidRPr="00D3268E">
              <w:rPr>
                <w:rFonts w:ascii="Calibri" w:eastAsia="Times New Roman" w:hAnsi="Calibri" w:cs="Calibri"/>
                <w:b/>
                <w:bCs/>
                <w:sz w:val="14"/>
                <w:szCs w:val="14"/>
                <w:lang w:eastAsia="es-CO"/>
              </w:rPr>
              <w:t xml:space="preserve"> </w:t>
            </w:r>
          </w:p>
        </w:tc>
        <w:tc>
          <w:tcPr>
            <w:tcW w:w="855" w:type="pct"/>
            <w:tcBorders>
              <w:top w:val="single" w:sz="4" w:space="0" w:color="5B9BD5"/>
              <w:left w:val="single" w:sz="4" w:space="0" w:color="5B9BD5"/>
              <w:bottom w:val="single" w:sz="8" w:space="0" w:color="5B9BD5"/>
              <w:right w:val="single" w:sz="4" w:space="0" w:color="5B9BD5"/>
            </w:tcBorders>
            <w:shd w:val="clear" w:color="000000" w:fill="70AD47"/>
            <w:noWrap/>
            <w:vAlign w:val="bottom"/>
            <w:hideMark/>
          </w:tcPr>
          <w:p w14:paraId="0BA0D784" w14:textId="77777777" w:rsidR="00D3268E" w:rsidRPr="00621D72" w:rsidRDefault="00D3268E" w:rsidP="00D3268E">
            <w:pPr>
              <w:spacing w:after="0"/>
              <w:contextualSpacing w:val="0"/>
              <w:rPr>
                <w:rFonts w:ascii="Calibri" w:eastAsia="Times New Roman" w:hAnsi="Calibri" w:cs="Calibri"/>
                <w:b/>
                <w:color w:val="FFFFFF" w:themeColor="background1"/>
                <w:sz w:val="14"/>
                <w:szCs w:val="14"/>
                <w:lang w:eastAsia="es-CO"/>
              </w:rPr>
            </w:pPr>
            <w:r w:rsidRPr="00621D72">
              <w:rPr>
                <w:rFonts w:ascii="Calibri" w:eastAsia="Times New Roman" w:hAnsi="Calibri" w:cs="Calibri"/>
                <w:b/>
                <w:color w:val="FFFFFF" w:themeColor="background1"/>
                <w:sz w:val="14"/>
                <w:szCs w:val="14"/>
                <w:lang w:eastAsia="es-CO"/>
              </w:rPr>
              <w:t xml:space="preserve"> Valores a retirar Ramales </w:t>
            </w:r>
          </w:p>
        </w:tc>
        <w:tc>
          <w:tcPr>
            <w:tcW w:w="500" w:type="pct"/>
            <w:tcBorders>
              <w:top w:val="single" w:sz="4" w:space="0" w:color="5B9BD5"/>
              <w:left w:val="single" w:sz="4" w:space="0" w:color="5B9BD5"/>
              <w:bottom w:val="single" w:sz="8" w:space="0" w:color="5B9BD5"/>
              <w:right w:val="single" w:sz="4" w:space="0" w:color="5B9BD5"/>
            </w:tcBorders>
            <w:shd w:val="clear" w:color="000000" w:fill="70AD47"/>
            <w:vAlign w:val="bottom"/>
            <w:hideMark/>
          </w:tcPr>
          <w:p w14:paraId="34789D40" w14:textId="77777777" w:rsidR="00D3268E" w:rsidRPr="00621D72" w:rsidRDefault="00D3268E" w:rsidP="00D3268E">
            <w:pPr>
              <w:spacing w:after="0"/>
              <w:contextualSpacing w:val="0"/>
              <w:rPr>
                <w:rFonts w:ascii="Calibri" w:eastAsia="Times New Roman" w:hAnsi="Calibri" w:cs="Calibri"/>
                <w:b/>
                <w:color w:val="FFFFFF" w:themeColor="background1"/>
                <w:sz w:val="14"/>
                <w:szCs w:val="14"/>
                <w:lang w:eastAsia="es-CO"/>
              </w:rPr>
            </w:pPr>
            <w:r w:rsidRPr="00621D72">
              <w:rPr>
                <w:rFonts w:ascii="Calibri" w:eastAsia="Times New Roman" w:hAnsi="Calibri" w:cs="Calibri"/>
                <w:b/>
                <w:color w:val="FFFFFF" w:themeColor="background1"/>
                <w:sz w:val="14"/>
                <w:szCs w:val="14"/>
                <w:lang w:eastAsia="es-CO"/>
              </w:rPr>
              <w:t xml:space="preserve"> Valores Adicionar Ramales </w:t>
            </w:r>
          </w:p>
        </w:tc>
        <w:tc>
          <w:tcPr>
            <w:tcW w:w="463" w:type="pct"/>
            <w:tcBorders>
              <w:top w:val="single" w:sz="4" w:space="0" w:color="5B9BD5"/>
              <w:left w:val="single" w:sz="4" w:space="0" w:color="5B9BD5"/>
              <w:bottom w:val="single" w:sz="8" w:space="0" w:color="5B9BD5"/>
              <w:right w:val="single" w:sz="4" w:space="0" w:color="5B9BD5"/>
            </w:tcBorders>
            <w:shd w:val="clear" w:color="000000" w:fill="5B9BD5"/>
            <w:vAlign w:val="bottom"/>
            <w:hideMark/>
          </w:tcPr>
          <w:p w14:paraId="12355FDE" w14:textId="51F30E46" w:rsidR="00D3268E" w:rsidRPr="00621D72" w:rsidRDefault="00D3268E" w:rsidP="00D3268E">
            <w:pPr>
              <w:spacing w:after="0"/>
              <w:contextualSpacing w:val="0"/>
              <w:rPr>
                <w:rFonts w:ascii="Calibri" w:eastAsia="Times New Roman" w:hAnsi="Calibri" w:cs="Calibri"/>
                <w:b/>
                <w:color w:val="FFFFFF" w:themeColor="background1"/>
                <w:sz w:val="14"/>
                <w:szCs w:val="14"/>
                <w:lang w:eastAsia="es-CO"/>
              </w:rPr>
            </w:pPr>
            <w:r w:rsidRPr="00621D72">
              <w:rPr>
                <w:rFonts w:ascii="Calibri" w:eastAsia="Times New Roman" w:hAnsi="Calibri" w:cs="Calibri"/>
                <w:b/>
                <w:color w:val="FFFFFF" w:themeColor="background1"/>
                <w:sz w:val="14"/>
                <w:szCs w:val="14"/>
                <w:lang w:eastAsia="es-CO"/>
              </w:rPr>
              <w:t xml:space="preserve"> Valores a retirar Ramales</w:t>
            </w:r>
          </w:p>
        </w:tc>
        <w:tc>
          <w:tcPr>
            <w:tcW w:w="500" w:type="pct"/>
            <w:tcBorders>
              <w:top w:val="single" w:sz="4" w:space="0" w:color="5B9BD5"/>
              <w:left w:val="single" w:sz="4" w:space="0" w:color="5B9BD5"/>
              <w:bottom w:val="single" w:sz="8" w:space="0" w:color="5B9BD5"/>
              <w:right w:val="single" w:sz="4" w:space="0" w:color="5B9BD5"/>
            </w:tcBorders>
            <w:shd w:val="clear" w:color="000000" w:fill="5B9BD5"/>
            <w:vAlign w:val="bottom"/>
            <w:hideMark/>
          </w:tcPr>
          <w:p w14:paraId="24AB834B" w14:textId="74BB6854" w:rsidR="00D3268E" w:rsidRPr="00621D72" w:rsidRDefault="00D3268E" w:rsidP="00D3268E">
            <w:pPr>
              <w:spacing w:after="0"/>
              <w:contextualSpacing w:val="0"/>
              <w:rPr>
                <w:rFonts w:ascii="Calibri" w:eastAsia="Times New Roman" w:hAnsi="Calibri" w:cs="Calibri"/>
                <w:b/>
                <w:color w:val="FFFFFF" w:themeColor="background1"/>
                <w:sz w:val="14"/>
                <w:szCs w:val="14"/>
                <w:lang w:eastAsia="es-CO"/>
              </w:rPr>
            </w:pPr>
            <w:r w:rsidRPr="00621D72">
              <w:rPr>
                <w:rFonts w:ascii="Calibri" w:eastAsia="Times New Roman" w:hAnsi="Calibri" w:cs="Calibri"/>
                <w:b/>
                <w:color w:val="FFFFFF" w:themeColor="background1"/>
                <w:sz w:val="14"/>
                <w:szCs w:val="14"/>
                <w:lang w:eastAsia="es-CO"/>
              </w:rPr>
              <w:t xml:space="preserve"> Valores Adicionar Ramales</w:t>
            </w:r>
          </w:p>
        </w:tc>
        <w:tc>
          <w:tcPr>
            <w:tcW w:w="631" w:type="pct"/>
            <w:tcBorders>
              <w:top w:val="single" w:sz="4" w:space="0" w:color="5B9BD5"/>
              <w:left w:val="single" w:sz="4" w:space="0" w:color="5B9BD5"/>
              <w:bottom w:val="single" w:sz="8" w:space="0" w:color="5B9BD5"/>
              <w:right w:val="single" w:sz="4" w:space="0" w:color="5B9BD5"/>
            </w:tcBorders>
            <w:shd w:val="clear" w:color="000000" w:fill="E7E6E6"/>
            <w:noWrap/>
            <w:vAlign w:val="bottom"/>
            <w:hideMark/>
          </w:tcPr>
          <w:p w14:paraId="62D89E33" w14:textId="77777777" w:rsidR="00D3268E" w:rsidRPr="00D3268E" w:rsidRDefault="00D3268E" w:rsidP="00D3268E">
            <w:pPr>
              <w:spacing w:after="0"/>
              <w:contextualSpacing w:val="0"/>
              <w:jc w:val="center"/>
              <w:rPr>
                <w:rFonts w:ascii="Calibri" w:eastAsia="Times New Roman" w:hAnsi="Calibri" w:cs="Calibri"/>
                <w:b/>
                <w:bCs/>
                <w:sz w:val="14"/>
                <w:szCs w:val="14"/>
                <w:lang w:eastAsia="es-CO"/>
              </w:rPr>
            </w:pPr>
            <w:proofErr w:type="spellStart"/>
            <w:r w:rsidRPr="00D3268E">
              <w:rPr>
                <w:rFonts w:ascii="Calibri" w:eastAsia="Times New Roman" w:hAnsi="Calibri" w:cs="Calibri"/>
                <w:b/>
                <w:bCs/>
                <w:sz w:val="14"/>
                <w:szCs w:val="14"/>
                <w:lang w:eastAsia="es-CO"/>
              </w:rPr>
              <w:t>Diff</w:t>
            </w:r>
            <w:proofErr w:type="spellEnd"/>
            <w:r w:rsidRPr="00D3268E">
              <w:rPr>
                <w:rFonts w:ascii="Calibri" w:eastAsia="Times New Roman" w:hAnsi="Calibri" w:cs="Calibri"/>
                <w:b/>
                <w:bCs/>
                <w:sz w:val="14"/>
                <w:szCs w:val="14"/>
                <w:lang w:eastAsia="es-CO"/>
              </w:rPr>
              <w:t xml:space="preserve"> valores retirar</w:t>
            </w:r>
          </w:p>
        </w:tc>
        <w:tc>
          <w:tcPr>
            <w:tcW w:w="719" w:type="pct"/>
            <w:tcBorders>
              <w:top w:val="single" w:sz="4" w:space="0" w:color="5B9BD5"/>
              <w:left w:val="single" w:sz="4" w:space="0" w:color="5B9BD5"/>
              <w:bottom w:val="single" w:sz="8" w:space="0" w:color="5B9BD5"/>
              <w:right w:val="single" w:sz="4" w:space="0" w:color="5B9BD5"/>
            </w:tcBorders>
            <w:shd w:val="clear" w:color="000000" w:fill="E7E6E6"/>
            <w:noWrap/>
            <w:vAlign w:val="bottom"/>
            <w:hideMark/>
          </w:tcPr>
          <w:p w14:paraId="2B39EF15" w14:textId="77777777" w:rsidR="00D3268E" w:rsidRPr="00D3268E" w:rsidRDefault="00D3268E" w:rsidP="00D3268E">
            <w:pPr>
              <w:spacing w:after="0"/>
              <w:contextualSpacing w:val="0"/>
              <w:jc w:val="center"/>
              <w:rPr>
                <w:rFonts w:ascii="Calibri" w:eastAsia="Times New Roman" w:hAnsi="Calibri" w:cs="Calibri"/>
                <w:b/>
                <w:bCs/>
                <w:sz w:val="14"/>
                <w:szCs w:val="14"/>
                <w:lang w:eastAsia="es-CO"/>
              </w:rPr>
            </w:pPr>
            <w:proofErr w:type="spellStart"/>
            <w:r w:rsidRPr="00D3268E">
              <w:rPr>
                <w:rFonts w:ascii="Calibri" w:eastAsia="Times New Roman" w:hAnsi="Calibri" w:cs="Calibri"/>
                <w:b/>
                <w:bCs/>
                <w:sz w:val="14"/>
                <w:szCs w:val="14"/>
                <w:lang w:eastAsia="es-CO"/>
              </w:rPr>
              <w:t>Diff</w:t>
            </w:r>
            <w:proofErr w:type="spellEnd"/>
            <w:r w:rsidRPr="00D3268E">
              <w:rPr>
                <w:rFonts w:ascii="Calibri" w:eastAsia="Times New Roman" w:hAnsi="Calibri" w:cs="Calibri"/>
                <w:b/>
                <w:bCs/>
                <w:sz w:val="14"/>
                <w:szCs w:val="14"/>
                <w:lang w:eastAsia="es-CO"/>
              </w:rPr>
              <w:t xml:space="preserve"> valores adicionar</w:t>
            </w:r>
          </w:p>
        </w:tc>
      </w:tr>
      <w:tr w:rsidR="00DF59A2" w:rsidRPr="00CB6E3B" w14:paraId="44930ED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559670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Mariquita - Pereira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11DF3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ACC7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B740B9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DED631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6FE5A6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DE98A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31EC30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8AD359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Fresno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9E3DBF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57B183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E5D666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2F39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AE0AD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E37C2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BBB7C4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2CBBB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Manzanares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AD77F3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389A2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E7DB77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7F3EA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37EF3B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857CF6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053B8E8"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9C7B6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Herveo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07043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3A7A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6AAD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96BB1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4934B8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1C43C8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5322F4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E93AEE"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Manizales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E2D76F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3A293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F4B048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BF8C28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14C4E1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5CFBB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9DE2B28"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4D1B7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Neira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8442D7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9131F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3785D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016AA3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08C549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29644E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6A52E3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B2A843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Villamaría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BA99D1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FB578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95B069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19334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5D2571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163A45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EABDBB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9EA06A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Chinchiná, Sta. Rosa de Cabal,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BBABF5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64C95B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319B28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BE1CAE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0325AE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6D75A3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053F185"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1829F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Sta. Rosa de Cabal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BF3986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B29D65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10D9A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47A431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6CB36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22A6AE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4E63C22"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F65275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Dos Quebradas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0C36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86995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CB64FC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91FCB6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3CB12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840CA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CFB69A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F9DB98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Palestina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49A692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BFCDF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34E2E4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9529C8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14BEA7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86EC8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02E6519"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10708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Marsella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3728B4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C57140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3A8A24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765F45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D5BFEE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D4DE3F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B49EA6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EE9540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Pereira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0CE6A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9CB2C5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271CF9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335AB9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D04DA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50C2B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E8F8B6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DB22CB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Pereira - Armenia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8669A4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3A71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4140F0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091774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99C2A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CE1F3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2E03D2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3E461F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Ansermanuevo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FEBA02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D6D188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D5374C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5B489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A1D395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2EC24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2DD01CE"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F975B8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Celia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321DA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EA9322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BF6579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48A15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059DA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12B60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ED93BE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39B139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Balboa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6F8B5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E620A4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2320D9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40C0C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030B1D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226DC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04CC36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EDB44D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Virginia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34177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F75473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139BC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F0845C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6A236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1DD427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192E0F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BF101E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Cartago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D0150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C46AA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F3BE40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7A7CC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B6373B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15B2B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124F7E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CE2CB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Obando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55018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B2786A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666B2B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CE36A8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7A988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93A6AE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B537026"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47A27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Victoria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D0D5C2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495E7B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5E7285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002F7F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F02D8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50F699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7061141"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B02198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Unión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92FE2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42DC19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679A8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9F6E5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658651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2AA4E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9DFD59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ED0DFCE"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Roldanillo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9B96A0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9260BE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3A26F1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98C693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AAE6F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09A3D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E165B7F"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B11AAD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Armenia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84C51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689119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375983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15D4A3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2F466A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5133CF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7FD899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AC0DE7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Sevilla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FD0282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FA1DE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FDDD4A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C34169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524A8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1013F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9AD142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494255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Caicedonia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F69C3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CD450F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833C45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4FEEB2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8F486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DDA459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840088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FEA71D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Tebaida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53B875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7C2F3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15ED6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D4225F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B77DD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363D7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7D663D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B93846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Montenegro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B0DD42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C8FF5F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9DBE7D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45AC8C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9D441D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EEDE77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BEED5C9"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6C179E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Quimbaya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5500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BEDEA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3AA2B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81140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EA50B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B28812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D3D2AB6"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48C511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Filandia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75421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92352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10EC12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E1421A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5AC82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6BC34A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E6E195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E9C509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Circasia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1EA609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88DE6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8C98CF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732586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176D58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6EAF2B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813810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CE132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Salento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B260E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18797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F78C9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2D93A9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A9CCD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23EBA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D8D763E"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4A38A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Calarcá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91A5C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E91C9B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9F4461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B312F2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E9D1D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24F31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C91501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FE02A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lastRenderedPageBreak/>
              <w:t xml:space="preserve"> Ramales Armenia - Cali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7FB87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D4303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54B051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0F7CB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30D3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3FC5B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3656D51"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DBAE5F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Zarzal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58870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423D7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3CD12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3188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43F6F1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094B15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078D30E"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1F942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Paila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9A275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E3854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7BC9E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8FCB0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111D06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75FD0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F7BBB55"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458DE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Bugalagrande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EF329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075048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43B8CE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B9A50D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A1D164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ECCCD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441F646"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8CE9A8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Andalucía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763FD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47B1A7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1B2B2B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F7E5FD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3044C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CCC4A0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941374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91803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Tulúa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CDF69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87A9E3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314216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53726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A595D9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16776B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76D9084"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F148A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San Pedro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3EBF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34B20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41CE0F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2EE4B8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AD53D7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A2A3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503EC9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4DF70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Buga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F804D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EDDC40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CB6354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26E5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02BDC5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DAF9C1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C8195A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297DBE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Guacarí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329952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D4BA75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5EF0C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748A43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CFBCB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87E5A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6430636"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56EFA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El Cerrito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CC943F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4142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B27DE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494088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17796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987EB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F19CE36"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451E82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Palmira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5D65D6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BCB0B3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7B31E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361F5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5E38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B15BC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1060458"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C08B1F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Pradera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54D21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0D9EB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8DC56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DA660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889903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06F185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934B8D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EE1810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Jamundí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D06F0C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4FC13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4B4E47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ACFED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9B89F9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D06EB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CCCDCCB"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6A4509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Candelaria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A9F941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70113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F473AC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AA74FD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AFD47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7774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498DF0E"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3F42E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Florida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781C66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8A4C25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3C17A6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081644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EF0239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D9191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42A789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7B21CB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Ginebra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26EC03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CFE42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B70898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758E65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888AF6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BD030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B4C5B1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C6015A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Yumbo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CCCBD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9B5AC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9A12AE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F864B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23DB20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3E38AB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123A3EB"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B4FD42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Ballena - Barrancabermeja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B78C9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99A04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4B250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7B85EA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712DDC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D37B0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71B20FF"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54492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San Diego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02E7DD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9EE74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51BECA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52BC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1C216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3ADC1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5F86119"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6CDB60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Agustín Codazzi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5FECA9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AAE2D1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703997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023AEE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3FA3FC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26E21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C9E1C5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4B1CB9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Casacará</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583AA4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7278D3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361CF9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65FF2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F9EAC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FAFF6D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6F88FC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8B29F0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Becerril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185DE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FD6DD5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0F5AF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C64BA4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4B525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7A1D86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B72302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8AFEE3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Jagua de Ibirico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AF500B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429388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C6AA14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B9316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8A805E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F6E9C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03D1B5B"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6AD69D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Palmita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D12033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711633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18FF7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0E409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8CFD29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7CDE0F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536AA4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34F5CE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Rincón Hondo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12F977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9D238C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D8D28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91173A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D8E11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E53858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546821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D2FCAB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Chiriguaná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445D22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59B821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9DADCD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C55E8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BEFDB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1914F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FEE2D5F"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CF9092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San Roque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0F789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93082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ACE0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433B67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EEB01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89F3CD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3D706D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F4F558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Curumaní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9A9B84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F0EA2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793A5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8C134B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10210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0CFED8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30183DC"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2D460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Sabanagrande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9AF28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556B7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BB31A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6D431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CB2A3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C415FB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2A2E503"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2C785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Pailitas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BDCE3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F9DC99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34B47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A08821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372D36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725726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B6F6794"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E3866C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El Burro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4BC528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7B6D29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B9EAF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678904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A42C4C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E833AB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6849CD1"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BE5532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Tamalameque/El Banco_1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B73D7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3BEFB7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C1E54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9851DC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2D4E88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CE8B56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26AD8CD"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880DAB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Tamalameque/El Banco_2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E3FCB8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6ECA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5521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DE3D6C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B4A06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47AB47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4A4F33B"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0C35E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Pelaya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AD51E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42CAF1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144DAF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9913F7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3D630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0C159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810FF8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714133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Mata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00D127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8A8DF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E7506A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8E4C2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00B5EB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3C518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25C694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F2813E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Gloria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27B90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2F31C0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386755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8501A5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40F5AF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C227E8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721DE2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E4025D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Gamarra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5EDE5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3855F9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EB0FA7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685CCE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125E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9B9C75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267386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9544DD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Aguachica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C1CDF7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AB5A7C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5F3601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4B9BBC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668DD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D5BB62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C5F82CD"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CEC940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San Alberto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64E117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C0002E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7D27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4DE9D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311AC5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80D2C0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236674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29E66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Hato Nuevo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E4F9A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76.288,00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349BFC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960,02</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F4FF04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76.288,00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8C2386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960,02</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DFA820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E5A889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B92329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254D5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Papayal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B18BB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81.868,00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ECF674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1.920,04</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5BA18E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81.868,00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598D3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1.920,04</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98C2FA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20D195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D2AC5B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2AB9AB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Barrancas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69432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153.055,00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C42D8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347.097,49</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B697DF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153.055,00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911636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347.097,49</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B1EA8D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23F9B0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70B4561"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CF0C2F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Fonseca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F55086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80.584,00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C2FCDE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2.256,13</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FAEE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80.584,00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8E78A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2.256,13</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B8550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A293C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D9D44F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71743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San Juan del Cesar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314485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205.632,00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28C07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900.881,07</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6CAD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205.632,00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50EB2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900.881,07</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15AB88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066AA3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AA709B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56BA60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lastRenderedPageBreak/>
              <w:t xml:space="preserve"> El Molino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C78EB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289.935,00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2BB8AA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1.481.892,08</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C3FA8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289.935,00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C6EA65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1.481.892,08</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EFC64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8972D0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960932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52D40D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Villanueva_BB</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14BB7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226.470,00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0C51F8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838.438,67</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55679B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226.470,00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1886A3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838.438,67</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95FF98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1F399C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65B66D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8F95FA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Urumita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4AB53F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215.106,00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BC032F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858.618,91</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771307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215.106,00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C5BFD5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858.618,91</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0121B5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AEB4D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FD78B9E"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B85AA7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Paz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4111BB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119.619,00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F61323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218.977,74</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ED14A8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119.619,00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E257E0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218.977,74</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61A47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FEF713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0A93554"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B142C8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Valledupar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83E99A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807.633,00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98EE3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3.612.535,40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9F6777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807.633,00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F51C36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3.612.535,40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C248F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752F6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BC85E09"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66F8AFE"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Mariquita - Neiva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88344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4B628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110FA1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3562A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B9BFB0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9FAF65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7017C15"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CC6C9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Honda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B7A9B4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564.568,00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9A4C33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1.437.600,63</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0E22AE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564.568,00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F95183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1.437.600,63</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CFD61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154385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416D4E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F01E06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Guayabal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7474EF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182.270,00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5AD105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45.975,74</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B59367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182.270,00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88C6BE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45.975,74</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E140E2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26FBF9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805EF85"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F1BCB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Lérida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F12D0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689.698,00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5851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14.775,54</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3351F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689.698,00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F8A33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14.775,54</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8992CA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751CBD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0E222E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6C270E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Líbano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8E39C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1.134.750,00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08D10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11.381.207,41</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047963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1.134.750,00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5B91E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11.381.207,41</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F837E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85B0F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17D17FB"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E61126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Tierradentro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7C00B7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161.744,00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D83BE8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302.217,22</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30F7A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161.744,00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B9A1EA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302.217,22</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295F99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E947C9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2D9876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70DD19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Sierra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E90663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230.016,00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4AF248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5.910,22</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E18236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230.016,00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F123B1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5.910,22</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972E9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884345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F838115"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E2CA6C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Ambalema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EAD85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861.153,00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879602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3.551.506,08</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69E7D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861.153,00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0F02E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3.551.506,08</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9254CB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6FE294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5D9374B"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2FBE41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Venadillo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EF6FF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266.001,00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0A655A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3.086,51</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82FDC9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266.001,00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2ED4F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3.086,51</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2ADCDF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0C377D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24E484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92AF6F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Alvarado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1D841B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193.065,00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05E5CA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5.910,22</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146F7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193.065,00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05266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5.910,22</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9F5F7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1F13F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F66BE75"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038436E"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Piedras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3F230A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477.091,00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D423C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2.200.388,18</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11EC54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477.091,00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482845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2.200.388,18</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E1ADD4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7A711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864EE9F"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3A56BC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Doima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30B78F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280.907,00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2B6E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665.897,86</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40998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280.907,00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C4E342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665.897,86</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343FF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85F71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F592C8F"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323054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Ibagué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A34AD1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199.228,00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E05B7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2.955,11</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229CF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199.228,00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ED299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2.955,11</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662637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8EE0F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21FC50C"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B0F591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Guamo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5B0616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227.911,00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A96582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3.065,05</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BFD96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227.911,00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F04487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3.065,05</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25BF2D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7FE9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05DBD4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D74C5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Saldaña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300FF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427.637,00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3E0EA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6.828,97</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97729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427.637,00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B140E3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6.828,97</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B71CA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77C8DE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5587B46"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73404A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Natagaima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65D161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238.070,00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C25D59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3.592,89</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27EC14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238.070,00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3CA14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3.592,89</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8B77B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37CC9D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98637A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E7E066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Aipe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4703DD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215.767,00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100E35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3.068,67</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A1EDEC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215.767,00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D54F4B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3.068,67</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F3C40C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58E921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E1E0DF0"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D110C7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Girardot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5EE00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214.656,00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68754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3.513,36</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0CBC33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214.656,00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40BD61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3.513,36</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20048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85B357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68976E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097A8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Purificación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D82780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229.308,00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1428BC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558.216,63</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F8AA0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229.308,00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9FC7D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558.216,63</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2C2D2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723E15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6261AA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2A2D50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La Belleza - Cogua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967C0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3213C0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D090C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F23D0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BFC7ED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09A9A8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C577A0E"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ED8958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Florián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7AF1EB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229.131,61</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43948C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434.242,71</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4A9403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229.131,61</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C11AD5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434.242,71</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32B1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CC80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B7E4BB1"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F2673E"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Albania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ABEF5C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352.002,58</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E6A2F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2.384.336,46</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D078E6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352.002,58</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5EE5AE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2.384.336,46</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4235D1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B7F6A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79F54D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72ABC2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Tununguá</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1CE79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212.711,09</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9EC89B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1.008.554,92</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26BAB1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212.711,09</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90408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1.008.554,92</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407DEA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F53FD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7FBDF0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687140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Briceño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B1D79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185.923,48</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5A9528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15.325,25</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CF596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185.923,48</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CA6DC1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15.325,25</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856B70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B92CE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AAA6E95"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A7CBD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Chiquinquirá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B72BE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380.367,69</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C1BEA9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628.456,19</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604CE5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380.367,69</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6C039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628.456,19</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7D2B5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9B6CD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9BEBD62"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61301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Caldas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3EE4E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353.785,37</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DF704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2.386.847,04</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8E3BE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353.785,37</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400782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2.386.847,04</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0F784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985B6B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A4B988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741B1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Simijaca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8CB86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401.064,37</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2FBC08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817.434,29</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1678D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401.064,37</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2618C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817.434,29</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92953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742F6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2F69681"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12639AC"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Susa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7CB7B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362.581,45</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45D934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879.976,60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E6F6F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362.581,45</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9D06B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879.976,60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2189CE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5477F9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6AECC64"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8F893C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Fúquene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549639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284.932,83</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B7F5FE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1.562.656,54</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8EA73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284.932,83</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BB1A65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1.562.656,54</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947751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5645F7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98F9656"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E3FDB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Capellanía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80822C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177.481,38</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B2BCD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59.102,15</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A7DDFA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177.481,38</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9F8FA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59.102,15</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AB363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64C561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BFFE41C"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4871CE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Guatancuy</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F72BF6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200.281,65</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026894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316.541,03</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16DF42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200.281,65</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23BC0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316.541,03</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9475F0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21649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8298ABD"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DEC25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Ubaté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E85D98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430.317,30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F6E37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1.214.136,11</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D801FF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430.317,30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75756A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1.214.136,11</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A4B56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5D06E6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81991B6"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BC5C9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Sutatausa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8D872D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619.485,73</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2B9AA4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2.924.444,21</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7C6EE7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619.485,73</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5B62DC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2.924.444,21</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908200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7C2D2B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AF23CA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F7E2E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Cucunubá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4178C3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189.217,71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66A6FC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197.695,67</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C4FB4E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189.217,71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8DC134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197.695,67</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DDC735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D40D32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210F0D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A0D2A8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Tausa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2B350A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307.034,03</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299A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1.101.900,91</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B12D19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307.034,03</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C00AEA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1.101.900,91</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13A350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1115C5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80D477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EF4438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Nemocón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A0AD9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454.336,39</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C30299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871.874,46</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EB82E0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454.336,39</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ACA371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871.874,46</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AFDC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79C73A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B9E55BF"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07ADDB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Tramo La Belleza - Sucre Oriental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D4B6D3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1.423.778,18</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1A8D6C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4.321.460,54</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544724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1.423.778,18</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DE1BDE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4.321.460,54</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84011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F2045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7509CE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44C8B2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Vasconia - La Belleza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146510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9EE32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77CAA0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92BE9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CA71CC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0790F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2AC7755"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A9F657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Belleza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D1237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212.800,00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EF7BB5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576.493,62</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DBB0D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212.800,00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71BB15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576.493,62</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6E7DB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DAB70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73F4B8E"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6AF86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lastRenderedPageBreak/>
              <w:t xml:space="preserve"> Ramales Vasconia - Mariquita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1C05DC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BDB26D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6EB84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9FC33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11363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5A24B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038127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4286F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Puerto Boyacá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8D9372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345.791,00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024B7D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129.508,29</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BAD9E8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345.791,00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A8735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129.508,29</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5DD4E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DBE7FC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2E07332"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22922A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Puerto Salgar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984F8B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266.054,00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D45BC5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800,02</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756991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266.054,00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03ADDA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800,02</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D55CCD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F9F71E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5966E9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7B0105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La Dorada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D68F1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397.876,00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83C36F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238.811,48</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915010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397.876,00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D695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238.811,48</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25114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D1479E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DE50F4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71D432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Termodorada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B7F51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1.850.644,00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F4303C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5.651.105,74</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8F56D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1.850.644,00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7D1A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5.651.105,74</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754BB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E6A8C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A4C436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7886A8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Victoria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899122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549.037,00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35B38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3.452.366,20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D99B64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549.037,00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F3EBC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3.452.366,20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A8635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AF8EA9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33B22E1"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AC18D4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w:t>
            </w:r>
            <w:proofErr w:type="spellStart"/>
            <w:r w:rsidRPr="009D469F">
              <w:rPr>
                <w:rFonts w:ascii="Calibri" w:eastAsia="Times New Roman" w:hAnsi="Calibri" w:cs="Calibri"/>
                <w:sz w:val="14"/>
                <w:szCs w:val="14"/>
                <w:lang w:eastAsia="es-CO"/>
              </w:rPr>
              <w:t>Montañuelo</w:t>
            </w:r>
            <w:proofErr w:type="spellEnd"/>
            <w:r w:rsidRPr="009D469F">
              <w:rPr>
                <w:rFonts w:ascii="Calibri" w:eastAsia="Times New Roman" w:hAnsi="Calibri" w:cs="Calibri"/>
                <w:sz w:val="14"/>
                <w:szCs w:val="14"/>
                <w:lang w:eastAsia="es-CO"/>
              </w:rPr>
              <w:t xml:space="preserve"> - Gualanday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C10FF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F8E24D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B270E3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45A095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D25E80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24384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40E7F0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EB60C2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San Luis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AA8B69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212.616,00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5719D9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147.278,42</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2B68DE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212.616,00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6FBD8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147.278,42</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C6A44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985C0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671D59A"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2B5819"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w:t>
            </w:r>
            <w:proofErr w:type="gramStart"/>
            <w:r w:rsidRPr="009D469F">
              <w:rPr>
                <w:rFonts w:ascii="Calibri" w:eastAsia="Times New Roman" w:hAnsi="Calibri" w:cs="Calibri"/>
                <w:sz w:val="14"/>
                <w:szCs w:val="14"/>
                <w:lang w:eastAsia="es-CO"/>
              </w:rPr>
              <w:t>Sebastopol  -</w:t>
            </w:r>
            <w:proofErr w:type="gramEnd"/>
            <w:r w:rsidRPr="009D469F">
              <w:rPr>
                <w:rFonts w:ascii="Calibri" w:eastAsia="Times New Roman" w:hAnsi="Calibri" w:cs="Calibri"/>
                <w:sz w:val="14"/>
                <w:szCs w:val="14"/>
                <w:lang w:eastAsia="es-CO"/>
              </w:rPr>
              <w:t xml:space="preserve"> Vasconia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9AC9B8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DD6BAC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1C7EAA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82402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8E4853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1D86A4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65B4013"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81C241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Puerto </w:t>
            </w:r>
            <w:proofErr w:type="spellStart"/>
            <w:r w:rsidRPr="009D469F">
              <w:rPr>
                <w:rFonts w:ascii="Calibri" w:eastAsia="Times New Roman" w:hAnsi="Calibri" w:cs="Calibri"/>
                <w:sz w:val="14"/>
                <w:szCs w:val="14"/>
                <w:lang w:eastAsia="es-CO"/>
              </w:rPr>
              <w:t>Serviez</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668080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206.792,00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0839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292.448,02</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6A3F77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206.792,00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B59886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292.448,02</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4D331D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2BA4B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31E0C10"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5B5DDD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Barrancabermeja - Sebastopol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8EB028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CE00B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BFF35D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8C24C0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0EAB1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6B0439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02C9EF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2C1A69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Puerto Parra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883720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294.961,00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5BA7B7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43.400,94</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E1F66E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294.961,00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BBDAF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43.400,94</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2CB82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4B19E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89C1272"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ADA1AA1"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Apiay - V/</w:t>
            </w:r>
            <w:proofErr w:type="spellStart"/>
            <w:proofErr w:type="gramStart"/>
            <w:r w:rsidRPr="009D469F">
              <w:rPr>
                <w:rFonts w:ascii="Calibri" w:eastAsia="Times New Roman" w:hAnsi="Calibri" w:cs="Calibri"/>
                <w:sz w:val="14"/>
                <w:szCs w:val="14"/>
                <w:lang w:eastAsia="es-CO"/>
              </w:rPr>
              <w:t>cio</w:t>
            </w:r>
            <w:proofErr w:type="spellEnd"/>
            <w:r w:rsidRPr="009D469F">
              <w:rPr>
                <w:rFonts w:ascii="Calibri" w:eastAsia="Times New Roman" w:hAnsi="Calibri" w:cs="Calibri"/>
                <w:sz w:val="14"/>
                <w:szCs w:val="14"/>
                <w:lang w:eastAsia="es-CO"/>
              </w:rPr>
              <w:t xml:space="preserve">  -</w:t>
            </w:r>
            <w:proofErr w:type="gramEnd"/>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Ocoa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C427D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43809E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4E0339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826FCF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C29D6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1CD82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40DA2D1"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67CA2E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Villavicencio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08498F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9EDFC8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9FC852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8C198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BC486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3180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AF6D20C"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2C1F8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Acacías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81122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CA23E4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3B268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3418D2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D15DB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05576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151E41A"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E5091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Ponpeya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8491F9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128.130,48</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84EC7F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213.551,00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15B1BB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128.130,48</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42F70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213.551,00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70C70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34CB89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A4977E2"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A88738"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Paratebueno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A1B7DC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77.063,84</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BB5B36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589.523,84</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AF79E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77.063,84</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E3D7A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589.523,84</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D4E18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DC08C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E45C58C"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88FEC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Cusiana - Apiay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9FB93D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362C25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C688C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179255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F9A2A3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851340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E204602"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B87BBA"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Aguazul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B1C294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2682B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161BCD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D95A27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086E2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19F0F7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56C1763"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72A7A0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Tauramena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C2D26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E0F82A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141F7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307766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57839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860676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FA89B0D"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ECA1CEF"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Monterrey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0B3382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67E32B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6B9A2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067D1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4F91BB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3AA19B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68C8438"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251366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Villanueva_CA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C495C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392.516,00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3B36E0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2.528.847,65</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58FED8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392.516,00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D97899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2.528.847,65</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985446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89D532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0B694F8"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7B92BE3"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Cumaral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D3FE7F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B29D7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50851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0DFA6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94B11D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FF90EB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274D5E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7DA5C4"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Restrepo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D165C6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DE2FEC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856118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8EC63E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C2782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288501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B38C09F"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3FA39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Ramales Apiay - Usme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183AD3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3991C4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3DEAEF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EA945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49B54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0BD5A2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C7A0911"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B42528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Guayabetal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E81FA5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166.623,78</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B6D764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256.325,64</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5F75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166.623,78</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1C7B8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256.325,64</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DBCBC0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C86DA8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402F6FCC"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0BAA87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w:t>
            </w:r>
            <w:proofErr w:type="spellStart"/>
            <w:r w:rsidRPr="009D469F">
              <w:rPr>
                <w:rFonts w:ascii="Calibri" w:eastAsia="Times New Roman" w:hAnsi="Calibri" w:cs="Calibri"/>
                <w:sz w:val="14"/>
                <w:szCs w:val="14"/>
                <w:lang w:eastAsia="es-CO"/>
              </w:rPr>
              <w:t>Quetame</w:t>
            </w:r>
            <w:proofErr w:type="spellEnd"/>
            <w:r w:rsidRPr="009D469F">
              <w:rPr>
                <w:rFonts w:ascii="Calibri" w:eastAsia="Times New Roman" w:hAnsi="Calibri" w:cs="Calibri"/>
                <w:sz w:val="14"/>
                <w:szCs w:val="14"/>
                <w:lang w:eastAsia="es-CO"/>
              </w:rPr>
              <w:t xml:space="preserve"> - Puente </w:t>
            </w:r>
            <w:proofErr w:type="spellStart"/>
            <w:r w:rsidRPr="009D469F">
              <w:rPr>
                <w:rFonts w:ascii="Calibri" w:eastAsia="Times New Roman" w:hAnsi="Calibri" w:cs="Calibri"/>
                <w:sz w:val="14"/>
                <w:szCs w:val="14"/>
                <w:lang w:eastAsia="es-CO"/>
              </w:rPr>
              <w:t>Quetame</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F48B6B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386.190,16</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3970BD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2.230.831,68</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AECE4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386.190,16</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2CBEC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2.230.831,68</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C9FC69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89250B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0827C82"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6E0AD7D"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Fosca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17A803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346.803,25</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395AEF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2.088.510,20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0665D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346.803,25</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20A9AF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2.088.510,20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BE8115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0EEB4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4094E90"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8EF6B7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Cáqueza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5618EC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496.079,01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AEC90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2.595.690,61</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E63B50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496.079,01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224244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2.595.690,61</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F8FCEA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F8560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DF04597"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417EC7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Une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464C38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127.166,42</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8AE7F56"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36.279,56</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958104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127.166,42</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274A44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36.279,56</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CFB5C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E7E4A2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546BC873"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AA6FE6"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Chipaque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A1303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379.076,31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3C2CAD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1.856.159,96</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2ECDB1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379.076,31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39F0A8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1.856.159,96</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762D35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551F68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7E62A25"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5F5C61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Gasoductos Aislados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CBAD19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606C69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CFDCB0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F619CA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EC3DB2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ABC611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6AA26F6C"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3EB7F0B"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 Galán - </w:t>
            </w:r>
            <w:proofErr w:type="spellStart"/>
            <w:r w:rsidRPr="009D469F">
              <w:rPr>
                <w:rFonts w:ascii="Calibri" w:eastAsia="Times New Roman" w:hAnsi="Calibri" w:cs="Calibri"/>
                <w:sz w:val="14"/>
                <w:szCs w:val="14"/>
                <w:lang w:eastAsia="es-CO"/>
              </w:rPr>
              <w:t>Termobarranca</w:t>
            </w:r>
            <w:proofErr w:type="spellEnd"/>
            <w:r w:rsidRPr="009D469F">
              <w:rPr>
                <w:rFonts w:ascii="Calibri" w:eastAsia="Times New Roman" w:hAnsi="Calibri" w:cs="Calibri"/>
                <w:sz w:val="14"/>
                <w:szCs w:val="14"/>
                <w:lang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95EED3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9BE62F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7E87D3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18AA1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642A2B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68A58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E75498F"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4998475"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 </w:t>
            </w:r>
            <w:proofErr w:type="spellStart"/>
            <w:r w:rsidRPr="009D469F">
              <w:rPr>
                <w:rFonts w:ascii="Calibri" w:eastAsia="Times New Roman" w:hAnsi="Calibri" w:cs="Calibri"/>
                <w:sz w:val="14"/>
                <w:szCs w:val="14"/>
                <w:lang w:eastAsia="es-CO"/>
              </w:rPr>
              <w:t>Yariguíes</w:t>
            </w:r>
            <w:proofErr w:type="spellEnd"/>
            <w:r w:rsidRPr="009D469F">
              <w:rPr>
                <w:rFonts w:ascii="Calibri" w:eastAsia="Times New Roman" w:hAnsi="Calibri" w:cs="Calibri"/>
                <w:sz w:val="14"/>
                <w:szCs w:val="14"/>
                <w:lang w:eastAsia="es-CO"/>
              </w:rPr>
              <w:t xml:space="preserve"> - Puente Sogamoso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AA5D1E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739D2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C5FFCF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79555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CCE0B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4D5F06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BCBD3F4"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493C320"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 </w:t>
            </w:r>
            <w:proofErr w:type="spellStart"/>
            <w:r w:rsidRPr="009D469F">
              <w:rPr>
                <w:rFonts w:ascii="Calibri" w:eastAsia="Times New Roman" w:hAnsi="Calibri" w:cs="Calibri"/>
                <w:sz w:val="14"/>
                <w:szCs w:val="14"/>
                <w:lang w:eastAsia="es-CO"/>
              </w:rPr>
              <w:t>Yariguíes</w:t>
            </w:r>
            <w:proofErr w:type="spellEnd"/>
            <w:r w:rsidRPr="009D469F">
              <w:rPr>
                <w:rFonts w:ascii="Calibri" w:eastAsia="Times New Roman" w:hAnsi="Calibri" w:cs="Calibri"/>
                <w:sz w:val="14"/>
                <w:szCs w:val="14"/>
                <w:lang w:eastAsia="es-CO"/>
              </w:rPr>
              <w:t xml:space="preserve"> - Puerto Wilches </w:t>
            </w:r>
          </w:p>
        </w:tc>
        <w:tc>
          <w:tcPr>
            <w:tcW w:w="855" w:type="pct"/>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674C1D9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386.923,74</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E17A16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644.873,00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B973F0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386.923,74</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592D3C"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644.873,00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C2913CA"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EE900A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3D48B938"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58EE8B7" w14:textId="77777777" w:rsidR="00D3268E" w:rsidRPr="009D469F" w:rsidRDefault="00D3268E" w:rsidP="00D3268E">
            <w:pPr>
              <w:spacing w:after="0"/>
              <w:contextualSpacing w:val="0"/>
              <w:rPr>
                <w:rFonts w:ascii="Calibri" w:eastAsia="Times New Roman" w:hAnsi="Calibri" w:cs="Calibri"/>
                <w:sz w:val="14"/>
                <w:szCs w:val="14"/>
                <w:lang w:val="en-US" w:eastAsia="es-CO"/>
              </w:rPr>
            </w:pPr>
            <w:r w:rsidRPr="009D469F">
              <w:rPr>
                <w:rFonts w:ascii="Calibri" w:eastAsia="Times New Roman" w:hAnsi="Calibri" w:cs="Calibri"/>
                <w:sz w:val="14"/>
                <w:szCs w:val="14"/>
                <w:lang w:val="en-US" w:eastAsia="es-CO"/>
              </w:rPr>
              <w:t xml:space="preserve"> Ramal Z. Ind. </w:t>
            </w:r>
            <w:proofErr w:type="spellStart"/>
            <w:r w:rsidRPr="009D469F">
              <w:rPr>
                <w:rFonts w:ascii="Calibri" w:eastAsia="Times New Roman" w:hAnsi="Calibri" w:cs="Calibri"/>
                <w:sz w:val="14"/>
                <w:szCs w:val="14"/>
                <w:lang w:val="en-US" w:eastAsia="es-CO"/>
              </w:rPr>
              <w:t>Cantagallo</w:t>
            </w:r>
            <w:proofErr w:type="spellEnd"/>
            <w:r w:rsidRPr="009D469F">
              <w:rPr>
                <w:rFonts w:ascii="Calibri" w:eastAsia="Times New Roman" w:hAnsi="Calibri" w:cs="Calibri"/>
                <w:sz w:val="14"/>
                <w:szCs w:val="14"/>
                <w:lang w:val="en-US" w:eastAsia="es-CO"/>
              </w:rPr>
              <w:t xml:space="preserve"> - </w:t>
            </w:r>
            <w:proofErr w:type="spellStart"/>
            <w:r w:rsidRPr="009D469F">
              <w:rPr>
                <w:rFonts w:ascii="Calibri" w:eastAsia="Times New Roman" w:hAnsi="Calibri" w:cs="Calibri"/>
                <w:sz w:val="14"/>
                <w:szCs w:val="14"/>
                <w:lang w:val="en-US" w:eastAsia="es-CO"/>
              </w:rPr>
              <w:t>Cantagallo</w:t>
            </w:r>
            <w:proofErr w:type="spellEnd"/>
            <w:r w:rsidRPr="009D469F">
              <w:rPr>
                <w:rFonts w:ascii="Calibri" w:eastAsia="Times New Roman" w:hAnsi="Calibri" w:cs="Calibri"/>
                <w:sz w:val="14"/>
                <w:szCs w:val="14"/>
                <w:lang w:val="en-US" w:eastAsia="es-CO"/>
              </w:rPr>
              <w:t xml:space="preserve">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vAlign w:val="bottom"/>
            <w:hideMark/>
          </w:tcPr>
          <w:p w14:paraId="5F351113"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76.707,91</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1DCFC71"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127.847,00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5CD3C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76.707,91</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89EB2E"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127.847,00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7F1007F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50EA12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1C3E7DB7"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9F67CB3" w14:textId="77777777" w:rsidR="00D3268E" w:rsidRPr="009D469F" w:rsidRDefault="00D3268E" w:rsidP="00D3268E">
            <w:pPr>
              <w:spacing w:after="0"/>
              <w:contextualSpacing w:val="0"/>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 xml:space="preserve"> Ramal Z. </w:t>
            </w:r>
            <w:proofErr w:type="spellStart"/>
            <w:r w:rsidRPr="009D469F">
              <w:rPr>
                <w:rFonts w:ascii="Calibri" w:eastAsia="Times New Roman" w:hAnsi="Calibri" w:cs="Calibri"/>
                <w:sz w:val="12"/>
                <w:szCs w:val="12"/>
                <w:lang w:eastAsia="es-CO"/>
              </w:rPr>
              <w:t>Ind</w:t>
            </w:r>
            <w:proofErr w:type="spellEnd"/>
            <w:r w:rsidRPr="009D469F">
              <w:rPr>
                <w:rFonts w:ascii="Calibri" w:eastAsia="Times New Roman" w:hAnsi="Calibri" w:cs="Calibri"/>
                <w:sz w:val="12"/>
                <w:szCs w:val="12"/>
                <w:lang w:eastAsia="es-CO"/>
              </w:rPr>
              <w:t xml:space="preserve">. Cantagallo - San Pablo </w:t>
            </w:r>
          </w:p>
        </w:tc>
        <w:tc>
          <w:tcPr>
            <w:tcW w:w="855" w:type="pct"/>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4B5E37E4" w14:textId="77777777" w:rsidR="00D3268E" w:rsidRPr="009D469F" w:rsidRDefault="00D3268E" w:rsidP="00D3268E">
            <w:pPr>
              <w:spacing w:after="0"/>
              <w:contextualSpacing w:val="0"/>
              <w:jc w:val="right"/>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2.371.741,01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892FD44" w14:textId="77777777" w:rsidR="00D3268E" w:rsidRPr="009D469F" w:rsidRDefault="00D3268E" w:rsidP="00D3268E">
            <w:pPr>
              <w:spacing w:after="0"/>
              <w:contextualSpacing w:val="0"/>
              <w:jc w:val="right"/>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3.952.902,00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A0B18EF" w14:textId="77777777" w:rsidR="00D3268E" w:rsidRPr="009D469F" w:rsidRDefault="00D3268E" w:rsidP="00D3268E">
            <w:pPr>
              <w:spacing w:after="0"/>
              <w:contextualSpacing w:val="0"/>
              <w:jc w:val="right"/>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2.371.741,01</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6C84CC8" w14:textId="77777777" w:rsidR="00D3268E" w:rsidRPr="009D469F" w:rsidRDefault="00D3268E" w:rsidP="00D3268E">
            <w:pPr>
              <w:spacing w:after="0"/>
              <w:contextualSpacing w:val="0"/>
              <w:jc w:val="right"/>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3.952.902,00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368B31" w14:textId="77777777" w:rsidR="00D3268E" w:rsidRPr="009D469F" w:rsidRDefault="00D3268E" w:rsidP="00D3268E">
            <w:pPr>
              <w:spacing w:after="0"/>
              <w:contextualSpacing w:val="0"/>
              <w:jc w:val="right"/>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086BE48" w14:textId="77777777" w:rsidR="00D3268E" w:rsidRPr="009D469F" w:rsidRDefault="00D3268E" w:rsidP="00D3268E">
            <w:pPr>
              <w:spacing w:after="0"/>
              <w:contextualSpacing w:val="0"/>
              <w:jc w:val="right"/>
              <w:rPr>
                <w:rFonts w:ascii="Calibri" w:eastAsia="Times New Roman" w:hAnsi="Calibri" w:cs="Calibri"/>
                <w:sz w:val="12"/>
                <w:szCs w:val="12"/>
                <w:lang w:eastAsia="es-CO"/>
              </w:rPr>
            </w:pPr>
            <w:r w:rsidRPr="009D469F">
              <w:rPr>
                <w:rFonts w:ascii="Calibri" w:eastAsia="Times New Roman" w:hAnsi="Calibri" w:cs="Calibri"/>
                <w:sz w:val="12"/>
                <w:szCs w:val="12"/>
                <w:lang w:eastAsia="es-CO"/>
              </w:rPr>
              <w:t>0,0000</w:t>
            </w:r>
          </w:p>
        </w:tc>
      </w:tr>
      <w:tr w:rsidR="00DF59A2" w:rsidRPr="00CB6E3B" w14:paraId="6C50F780"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46999BE"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 </w:t>
            </w:r>
            <w:proofErr w:type="spellStart"/>
            <w:r w:rsidRPr="009D469F">
              <w:rPr>
                <w:rFonts w:ascii="Calibri" w:eastAsia="Times New Roman" w:hAnsi="Calibri" w:cs="Calibri"/>
                <w:sz w:val="14"/>
                <w:szCs w:val="14"/>
                <w:lang w:eastAsia="es-CO"/>
              </w:rPr>
              <w:t>Galan</w:t>
            </w:r>
            <w:proofErr w:type="spellEnd"/>
            <w:r w:rsidRPr="009D469F">
              <w:rPr>
                <w:rFonts w:ascii="Calibri" w:eastAsia="Times New Roman" w:hAnsi="Calibri" w:cs="Calibri"/>
                <w:sz w:val="14"/>
                <w:szCs w:val="14"/>
                <w:lang w:eastAsia="es-CO"/>
              </w:rPr>
              <w:t xml:space="preserve"> - Casabe - Yondó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C359DB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FF17DCF"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E743B6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C16AF2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D4A973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197818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0901F4C4" w14:textId="77777777" w:rsidTr="0064607E">
        <w:trPr>
          <w:trHeight w:val="285"/>
        </w:trPr>
        <w:tc>
          <w:tcPr>
            <w:tcW w:w="133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933D312"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 Corregimiento Brisas de Bolívar </w:t>
            </w:r>
          </w:p>
        </w:tc>
        <w:tc>
          <w:tcPr>
            <w:tcW w:w="855"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D5EE42B"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C6418A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7122F50"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ADBA7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6D78674"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54DE975"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765214BD" w14:textId="77777777" w:rsidTr="00241CAF">
        <w:trPr>
          <w:trHeight w:val="285"/>
        </w:trPr>
        <w:tc>
          <w:tcPr>
            <w:tcW w:w="1332"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B17ACB7" w14:textId="77777777" w:rsidR="00D3268E" w:rsidRPr="009D469F" w:rsidRDefault="00D3268E" w:rsidP="00D3268E">
            <w:pPr>
              <w:spacing w:after="0"/>
              <w:contextualSpacing w:val="0"/>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 xml:space="preserve"> Ramal a San Vicente de Chucurí  </w:t>
            </w:r>
          </w:p>
        </w:tc>
        <w:tc>
          <w:tcPr>
            <w:tcW w:w="855"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48E6E09"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720120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463"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6090AD"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500"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79B1988"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w:t>
            </w:r>
          </w:p>
        </w:tc>
        <w:tc>
          <w:tcPr>
            <w:tcW w:w="631"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42F6AB2"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c>
          <w:tcPr>
            <w:tcW w:w="719" w:type="pct"/>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A1D04E7" w14:textId="77777777" w:rsidR="00D3268E" w:rsidRPr="009D469F" w:rsidRDefault="00D3268E" w:rsidP="00D3268E">
            <w:pPr>
              <w:spacing w:after="0"/>
              <w:contextualSpacing w:val="0"/>
              <w:jc w:val="right"/>
              <w:rPr>
                <w:rFonts w:ascii="Calibri" w:eastAsia="Times New Roman" w:hAnsi="Calibri" w:cs="Calibri"/>
                <w:sz w:val="14"/>
                <w:szCs w:val="14"/>
                <w:lang w:eastAsia="es-CO"/>
              </w:rPr>
            </w:pPr>
            <w:r w:rsidRPr="009D469F">
              <w:rPr>
                <w:rFonts w:ascii="Calibri" w:eastAsia="Times New Roman" w:hAnsi="Calibri" w:cs="Calibri"/>
                <w:sz w:val="14"/>
                <w:szCs w:val="14"/>
                <w:lang w:eastAsia="es-CO"/>
              </w:rPr>
              <w:t>0,0000</w:t>
            </w:r>
          </w:p>
        </w:tc>
      </w:tr>
      <w:tr w:rsidR="00DF59A2" w:rsidRPr="00CB6E3B" w14:paraId="26A53774" w14:textId="77777777" w:rsidTr="0064607E">
        <w:trPr>
          <w:trHeight w:val="285"/>
        </w:trPr>
        <w:tc>
          <w:tcPr>
            <w:tcW w:w="1332"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45F29C68" w14:textId="00EDEF2A" w:rsidR="00D3268E" w:rsidRPr="009D469F" w:rsidRDefault="00D3268E" w:rsidP="00D3268E">
            <w:pPr>
              <w:spacing w:after="0"/>
              <w:contextualSpacing w:val="0"/>
              <w:rPr>
                <w:rFonts w:ascii="Calibri" w:eastAsia="Times New Roman" w:hAnsi="Calibri" w:cs="Calibri"/>
                <w:b/>
                <w:sz w:val="10"/>
                <w:szCs w:val="10"/>
                <w:lang w:eastAsia="es-CO"/>
              </w:rPr>
            </w:pPr>
            <w:r w:rsidRPr="009D469F">
              <w:rPr>
                <w:rFonts w:ascii="Calibri" w:eastAsia="Times New Roman" w:hAnsi="Calibri" w:cs="Calibri"/>
                <w:b/>
                <w:sz w:val="10"/>
                <w:szCs w:val="10"/>
                <w:lang w:eastAsia="es-CO"/>
              </w:rPr>
              <w:t>Total</w:t>
            </w:r>
          </w:p>
        </w:tc>
        <w:tc>
          <w:tcPr>
            <w:tcW w:w="855"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1AEEA52D" w14:textId="77777777" w:rsidR="00D3268E" w:rsidRPr="009D469F" w:rsidRDefault="00D3268E" w:rsidP="00D3268E">
            <w:pPr>
              <w:spacing w:after="0"/>
              <w:contextualSpacing w:val="0"/>
              <w:jc w:val="right"/>
              <w:rPr>
                <w:rFonts w:ascii="Calibri" w:eastAsia="Times New Roman" w:hAnsi="Calibri" w:cs="Calibri"/>
                <w:b/>
                <w:sz w:val="12"/>
                <w:szCs w:val="12"/>
                <w:lang w:eastAsia="es-CO"/>
              </w:rPr>
            </w:pPr>
            <w:r w:rsidRPr="009D469F">
              <w:rPr>
                <w:rFonts w:ascii="Calibri" w:eastAsia="Times New Roman" w:hAnsi="Calibri" w:cs="Calibri"/>
                <w:b/>
                <w:sz w:val="12"/>
                <w:szCs w:val="12"/>
                <w:lang w:eastAsia="es-CO"/>
              </w:rPr>
              <w:t>25.286.055,74</w:t>
            </w:r>
          </w:p>
        </w:tc>
        <w:tc>
          <w:tcPr>
            <w:tcW w:w="500"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50436ED0" w14:textId="77777777" w:rsidR="00D3268E" w:rsidRPr="009D469F" w:rsidRDefault="00D3268E" w:rsidP="00D3268E">
            <w:pPr>
              <w:spacing w:after="0"/>
              <w:contextualSpacing w:val="0"/>
              <w:jc w:val="right"/>
              <w:rPr>
                <w:rFonts w:ascii="Calibri" w:eastAsia="Times New Roman" w:hAnsi="Calibri" w:cs="Calibri"/>
                <w:b/>
                <w:sz w:val="12"/>
                <w:szCs w:val="12"/>
                <w:lang w:eastAsia="es-CO"/>
              </w:rPr>
            </w:pPr>
            <w:r w:rsidRPr="009D469F">
              <w:rPr>
                <w:rFonts w:ascii="Calibri" w:eastAsia="Times New Roman" w:hAnsi="Calibri" w:cs="Calibri"/>
                <w:b/>
                <w:sz w:val="12"/>
                <w:szCs w:val="12"/>
                <w:lang w:eastAsia="es-CO"/>
              </w:rPr>
              <w:t>77.237.833,81</w:t>
            </w:r>
          </w:p>
        </w:tc>
        <w:tc>
          <w:tcPr>
            <w:tcW w:w="463"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45FEF5A2" w14:textId="77777777" w:rsidR="00D3268E" w:rsidRPr="009D469F" w:rsidRDefault="00D3268E" w:rsidP="00D3268E">
            <w:pPr>
              <w:spacing w:after="0"/>
              <w:contextualSpacing w:val="0"/>
              <w:jc w:val="right"/>
              <w:rPr>
                <w:rFonts w:ascii="Calibri" w:eastAsia="Times New Roman" w:hAnsi="Calibri" w:cs="Calibri"/>
                <w:b/>
                <w:sz w:val="12"/>
                <w:szCs w:val="12"/>
                <w:lang w:eastAsia="es-CO"/>
              </w:rPr>
            </w:pPr>
            <w:r w:rsidRPr="009D469F">
              <w:rPr>
                <w:rFonts w:ascii="Calibri" w:eastAsia="Times New Roman" w:hAnsi="Calibri" w:cs="Calibri"/>
                <w:b/>
                <w:sz w:val="12"/>
                <w:szCs w:val="12"/>
                <w:lang w:eastAsia="es-CO"/>
              </w:rPr>
              <w:t>25.286.055,74</w:t>
            </w:r>
          </w:p>
        </w:tc>
        <w:tc>
          <w:tcPr>
            <w:tcW w:w="500"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61221A0C" w14:textId="77777777" w:rsidR="00D3268E" w:rsidRPr="009D469F" w:rsidRDefault="00D3268E" w:rsidP="00D3268E">
            <w:pPr>
              <w:spacing w:after="0"/>
              <w:contextualSpacing w:val="0"/>
              <w:jc w:val="right"/>
              <w:rPr>
                <w:rFonts w:ascii="Calibri" w:eastAsia="Times New Roman" w:hAnsi="Calibri" w:cs="Calibri"/>
                <w:b/>
                <w:sz w:val="12"/>
                <w:szCs w:val="12"/>
                <w:lang w:eastAsia="es-CO"/>
              </w:rPr>
            </w:pPr>
            <w:r w:rsidRPr="009D469F">
              <w:rPr>
                <w:rFonts w:ascii="Calibri" w:eastAsia="Times New Roman" w:hAnsi="Calibri" w:cs="Calibri"/>
                <w:b/>
                <w:sz w:val="12"/>
                <w:szCs w:val="12"/>
                <w:lang w:eastAsia="es-CO"/>
              </w:rPr>
              <w:t>77.237.833,81</w:t>
            </w:r>
          </w:p>
        </w:tc>
        <w:tc>
          <w:tcPr>
            <w:tcW w:w="631"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744E2229" w14:textId="77777777" w:rsidR="00D3268E" w:rsidRPr="009D469F" w:rsidRDefault="00D3268E" w:rsidP="00D3268E">
            <w:pPr>
              <w:spacing w:after="0"/>
              <w:contextualSpacing w:val="0"/>
              <w:jc w:val="right"/>
              <w:rPr>
                <w:rFonts w:ascii="Calibri" w:eastAsia="Times New Roman" w:hAnsi="Calibri" w:cs="Calibri"/>
                <w:b/>
                <w:sz w:val="12"/>
                <w:szCs w:val="12"/>
                <w:lang w:eastAsia="es-CO"/>
              </w:rPr>
            </w:pPr>
            <w:r w:rsidRPr="009D469F">
              <w:rPr>
                <w:rFonts w:ascii="Calibri" w:eastAsia="Times New Roman" w:hAnsi="Calibri" w:cs="Calibri"/>
                <w:b/>
                <w:sz w:val="12"/>
                <w:szCs w:val="12"/>
                <w:lang w:eastAsia="es-CO"/>
              </w:rPr>
              <w:t>0,0000</w:t>
            </w:r>
          </w:p>
        </w:tc>
        <w:tc>
          <w:tcPr>
            <w:tcW w:w="719" w:type="pct"/>
            <w:tcBorders>
              <w:top w:val="double" w:sz="6" w:space="0" w:color="5B9BD5"/>
              <w:left w:val="single" w:sz="4" w:space="0" w:color="5B9BD5"/>
              <w:bottom w:val="single" w:sz="4" w:space="0" w:color="5B9BD5"/>
              <w:right w:val="single" w:sz="4" w:space="0" w:color="5B9BD5"/>
            </w:tcBorders>
            <w:shd w:val="clear" w:color="auto" w:fill="auto"/>
            <w:noWrap/>
            <w:vAlign w:val="bottom"/>
            <w:hideMark/>
          </w:tcPr>
          <w:p w14:paraId="74817CFF" w14:textId="77777777" w:rsidR="00D3268E" w:rsidRPr="009D469F" w:rsidRDefault="00D3268E" w:rsidP="00D3268E">
            <w:pPr>
              <w:spacing w:after="0"/>
              <w:contextualSpacing w:val="0"/>
              <w:jc w:val="right"/>
              <w:rPr>
                <w:rFonts w:ascii="Calibri" w:eastAsia="Times New Roman" w:hAnsi="Calibri" w:cs="Calibri"/>
                <w:b/>
                <w:sz w:val="12"/>
                <w:szCs w:val="12"/>
                <w:lang w:eastAsia="es-CO"/>
              </w:rPr>
            </w:pPr>
            <w:r w:rsidRPr="009D469F">
              <w:rPr>
                <w:rFonts w:ascii="Calibri" w:eastAsia="Times New Roman" w:hAnsi="Calibri" w:cs="Calibri"/>
                <w:b/>
                <w:sz w:val="12"/>
                <w:szCs w:val="12"/>
                <w:lang w:eastAsia="es-CO"/>
              </w:rPr>
              <w:t>0,0000</w:t>
            </w:r>
          </w:p>
        </w:tc>
      </w:tr>
    </w:tbl>
    <w:p w14:paraId="0EA9BA3A" w14:textId="77777777" w:rsidR="005F646D" w:rsidRDefault="005F646D" w:rsidP="006C072B">
      <w:pPr>
        <w:jc w:val="both"/>
      </w:pPr>
    </w:p>
    <w:p w14:paraId="568A0812" w14:textId="5B724950" w:rsidR="00D3268E" w:rsidRDefault="00E60E97" w:rsidP="006C072B">
      <w:pPr>
        <w:jc w:val="both"/>
      </w:pPr>
      <w:r>
        <w:t>Una vez revisad</w:t>
      </w:r>
      <w:r w:rsidR="0040293B">
        <w:t>os</w:t>
      </w:r>
      <w:r>
        <w:t xml:space="preserve"> los valores consignados </w:t>
      </w:r>
      <w:r w:rsidR="00DA3D73">
        <w:t>e</w:t>
      </w:r>
      <w:r w:rsidR="002F7EFF">
        <w:t>n la</w:t>
      </w:r>
      <w:r w:rsidR="00F77AB2">
        <w:t>s</w:t>
      </w:r>
      <w:r w:rsidR="002F7EFF">
        <w:t xml:space="preserve"> </w:t>
      </w:r>
      <w:r w:rsidR="00F77AB2">
        <w:t>Resoluciones</w:t>
      </w:r>
      <w:r w:rsidR="002F7EFF">
        <w:t xml:space="preserve"> CREG 099 y 231 de 2021</w:t>
      </w:r>
      <w:r w:rsidR="005C72C6">
        <w:t>,</w:t>
      </w:r>
      <w:r w:rsidR="00D95A5A">
        <w:t xml:space="preserve"> </w:t>
      </w:r>
      <w:r w:rsidR="002F7EFF">
        <w:t>y 502-024 de 2022</w:t>
      </w:r>
      <w:r w:rsidR="005C72C6">
        <w:t>,</w:t>
      </w:r>
      <w:r w:rsidR="002F7EFF">
        <w:t xml:space="preserve"> se concluye </w:t>
      </w:r>
      <w:r w:rsidR="00E24021">
        <w:t>que no hay diferencias numéricas</w:t>
      </w:r>
      <w:r w:rsidR="000B404A">
        <w:t xml:space="preserve"> y</w:t>
      </w:r>
      <w:r w:rsidR="005C72C6">
        <w:t>,</w:t>
      </w:r>
      <w:r w:rsidR="000B404A">
        <w:t xml:space="preserve"> </w:t>
      </w:r>
      <w:r w:rsidR="000B404A">
        <w:lastRenderedPageBreak/>
        <w:t>por tanto, no procede el ajuste solicitado</w:t>
      </w:r>
      <w:r w:rsidR="00B02202">
        <w:t xml:space="preserve"> por TGI</w:t>
      </w:r>
      <w:r w:rsidR="000B404A">
        <w:t xml:space="preserve"> de la resolución recurrida</w:t>
      </w:r>
      <w:r w:rsidR="00B02202">
        <w:t xml:space="preserve"> </w:t>
      </w:r>
      <w:r w:rsidR="000B404A">
        <w:t>d</w:t>
      </w:r>
      <w:r w:rsidR="00E24021">
        <w:t xml:space="preserve">el ajuste asociado a los 3 dólares </w:t>
      </w:r>
      <w:r w:rsidR="00B02202">
        <w:t>de la base de activos de los ramales d</w:t>
      </w:r>
      <w:r w:rsidR="00081F56">
        <w:t xml:space="preserve">e su sistema de transporte. </w:t>
      </w:r>
    </w:p>
    <w:p w14:paraId="6C11F61D" w14:textId="77777777" w:rsidR="00490ADC" w:rsidRDefault="00490ADC" w:rsidP="00B55C9E"/>
    <w:p w14:paraId="0046930D" w14:textId="12732FAA" w:rsidR="00490ADC" w:rsidRDefault="00490ADC" w:rsidP="00ED3C2C">
      <w:pPr>
        <w:pStyle w:val="Tit1"/>
        <w:numPr>
          <w:ilvl w:val="3"/>
          <w:numId w:val="7"/>
        </w:numPr>
        <w:ind w:left="709"/>
      </w:pPr>
      <w:r>
        <w:t>Sobre la diferencia en el cargo de gasoductos ramales</w:t>
      </w:r>
    </w:p>
    <w:p w14:paraId="2A5B011E" w14:textId="77777777" w:rsidR="00490ADC" w:rsidRPr="00162851" w:rsidRDefault="00490ADC" w:rsidP="00B55C9E"/>
    <w:p w14:paraId="2D782211" w14:textId="4F47E39C" w:rsidR="0053400E" w:rsidRDefault="00C97407" w:rsidP="004453AE">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En la revisión del valor </w:t>
      </w:r>
      <w:r w:rsidR="005E644A">
        <w:rPr>
          <w:rFonts w:ascii="Bookman Old Style" w:hAnsi="Bookman Old Style"/>
          <w:lang w:val="es-CO"/>
        </w:rPr>
        <w:t>de las parejas de cargos para los gasoductos ramales en el modelo de cálculo</w:t>
      </w:r>
      <w:r w:rsidR="00B50BE0">
        <w:rPr>
          <w:rFonts w:ascii="Bookman Old Style" w:hAnsi="Bookman Old Style"/>
          <w:lang w:val="es-CO"/>
        </w:rPr>
        <w:t xml:space="preserve"> se </w:t>
      </w:r>
      <w:r w:rsidR="0053400E">
        <w:rPr>
          <w:rFonts w:ascii="Bookman Old Style" w:hAnsi="Bookman Old Style"/>
          <w:lang w:val="es-CO"/>
        </w:rPr>
        <w:t>identificó</w:t>
      </w:r>
      <w:r w:rsidR="00B50BE0">
        <w:rPr>
          <w:rFonts w:ascii="Bookman Old Style" w:hAnsi="Bookman Old Style"/>
          <w:lang w:val="es-CO"/>
        </w:rPr>
        <w:t xml:space="preserve"> que </w:t>
      </w:r>
      <w:r w:rsidR="00DA764E">
        <w:rPr>
          <w:rFonts w:ascii="Bookman Old Style" w:hAnsi="Bookman Old Style"/>
          <w:lang w:val="es-CO"/>
        </w:rPr>
        <w:t xml:space="preserve">dentro del cálculo </w:t>
      </w:r>
      <w:r w:rsidR="00070519">
        <w:rPr>
          <w:rFonts w:ascii="Bookman Old Style" w:hAnsi="Bookman Old Style"/>
          <w:lang w:val="es-CO"/>
        </w:rPr>
        <w:t>no</w:t>
      </w:r>
      <w:r w:rsidR="00DA764E">
        <w:rPr>
          <w:rFonts w:ascii="Bookman Old Style" w:hAnsi="Bookman Old Style"/>
          <w:lang w:val="es-CO"/>
        </w:rPr>
        <w:t xml:space="preserve"> se</w:t>
      </w:r>
      <w:r w:rsidR="00070519">
        <w:rPr>
          <w:rFonts w:ascii="Bookman Old Style" w:hAnsi="Bookman Old Style"/>
          <w:lang w:val="es-CO"/>
        </w:rPr>
        <w:t xml:space="preserve"> estaban considerando el valor presente de los PNI </w:t>
      </w:r>
      <w:r w:rsidR="004453AE">
        <w:rPr>
          <w:rFonts w:ascii="Bookman Old Style" w:hAnsi="Bookman Old Style"/>
          <w:lang w:val="es-CO"/>
        </w:rPr>
        <w:t>y</w:t>
      </w:r>
      <w:r w:rsidR="005C72C6">
        <w:rPr>
          <w:rFonts w:ascii="Bookman Old Style" w:hAnsi="Bookman Old Style"/>
          <w:lang w:val="es-CO"/>
        </w:rPr>
        <w:t>,</w:t>
      </w:r>
      <w:r w:rsidR="004453AE">
        <w:rPr>
          <w:rFonts w:ascii="Bookman Old Style" w:hAnsi="Bookman Old Style"/>
          <w:lang w:val="es-CO"/>
        </w:rPr>
        <w:t xml:space="preserve"> por tanto</w:t>
      </w:r>
      <w:r w:rsidR="005C72C6">
        <w:rPr>
          <w:rFonts w:ascii="Bookman Old Style" w:hAnsi="Bookman Old Style"/>
          <w:lang w:val="es-CO"/>
        </w:rPr>
        <w:t>,</w:t>
      </w:r>
      <w:r w:rsidR="004453AE">
        <w:rPr>
          <w:rFonts w:ascii="Bookman Old Style" w:hAnsi="Bookman Old Style"/>
          <w:lang w:val="es-CO"/>
        </w:rPr>
        <w:t xml:space="preserve"> se considera</w:t>
      </w:r>
      <w:r w:rsidR="00B073D3">
        <w:rPr>
          <w:rFonts w:ascii="Bookman Old Style" w:hAnsi="Bookman Old Style"/>
          <w:lang w:val="es-CO"/>
        </w:rPr>
        <w:t xml:space="preserve"> procedente realizar</w:t>
      </w:r>
      <w:r w:rsidR="004453AE" w:rsidDel="00B073D3">
        <w:rPr>
          <w:rFonts w:ascii="Bookman Old Style" w:hAnsi="Bookman Old Style"/>
          <w:lang w:val="es-CO"/>
        </w:rPr>
        <w:t xml:space="preserve"> </w:t>
      </w:r>
      <w:r w:rsidR="00B073D3">
        <w:rPr>
          <w:rFonts w:ascii="Bookman Old Style" w:hAnsi="Bookman Old Style"/>
          <w:lang w:val="es-CO"/>
        </w:rPr>
        <w:t>el</w:t>
      </w:r>
      <w:r w:rsidR="004453AE" w:rsidDel="00B073D3">
        <w:rPr>
          <w:rFonts w:ascii="Bookman Old Style" w:hAnsi="Bookman Old Style"/>
          <w:lang w:val="es-CO"/>
        </w:rPr>
        <w:t xml:space="preserve"> </w:t>
      </w:r>
      <w:r w:rsidR="004453AE">
        <w:rPr>
          <w:rFonts w:ascii="Bookman Old Style" w:hAnsi="Bookman Old Style"/>
          <w:lang w:val="es-CO"/>
        </w:rPr>
        <w:t>ajuste</w:t>
      </w:r>
      <w:r w:rsidR="0024547C">
        <w:rPr>
          <w:rFonts w:ascii="Bookman Old Style" w:hAnsi="Bookman Old Style"/>
          <w:lang w:val="es-CO"/>
        </w:rPr>
        <w:t xml:space="preserve"> a la Resolución CREG 502</w:t>
      </w:r>
      <w:r w:rsidR="00195B13">
        <w:rPr>
          <w:rFonts w:ascii="Bookman Old Style" w:hAnsi="Bookman Old Style"/>
          <w:lang w:val="es-CO"/>
        </w:rPr>
        <w:t xml:space="preserve"> 024 de 2022</w:t>
      </w:r>
      <w:r w:rsidR="005C72C6">
        <w:rPr>
          <w:rFonts w:ascii="Bookman Old Style" w:hAnsi="Bookman Old Style"/>
          <w:lang w:val="es-CO"/>
        </w:rPr>
        <w:t>,</w:t>
      </w:r>
      <w:r w:rsidR="00B073D3">
        <w:rPr>
          <w:rFonts w:ascii="Bookman Old Style" w:hAnsi="Bookman Old Style"/>
          <w:lang w:val="es-CO"/>
        </w:rPr>
        <w:t xml:space="preserve"> en el artículo 4.</w:t>
      </w:r>
      <w:r w:rsidR="00DA764E">
        <w:rPr>
          <w:rFonts w:ascii="Bookman Old Style" w:hAnsi="Bookman Old Style"/>
          <w:lang w:val="es-CO"/>
        </w:rPr>
        <w:t xml:space="preserve"> </w:t>
      </w:r>
    </w:p>
    <w:p w14:paraId="04E8C100" w14:textId="77777777" w:rsidR="00195B13" w:rsidRDefault="00195B13" w:rsidP="004453AE">
      <w:pPr>
        <w:pStyle w:val="Textoindependiente2"/>
        <w:spacing w:after="0" w:line="240" w:lineRule="auto"/>
        <w:ind w:left="0"/>
        <w:jc w:val="both"/>
        <w:rPr>
          <w:rFonts w:ascii="Bookman Old Style" w:hAnsi="Bookman Old Style"/>
          <w:lang w:val="es-CO"/>
        </w:rPr>
      </w:pPr>
    </w:p>
    <w:p w14:paraId="78EDAA08" w14:textId="126080BD" w:rsidR="00195B13" w:rsidRDefault="00AE6932" w:rsidP="004453AE">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El cálculo de la incorporación de este componente en la pareja de cargos de los gasoductos ramales, </w:t>
      </w:r>
      <w:r w:rsidR="00596D5B">
        <w:rPr>
          <w:rFonts w:ascii="Bookman Old Style" w:hAnsi="Bookman Old Style"/>
          <w:lang w:val="es-CO"/>
        </w:rPr>
        <w:t xml:space="preserve">arroja como resultado los valores descritos en la siguiente tabla. </w:t>
      </w:r>
    </w:p>
    <w:p w14:paraId="62F3DF15" w14:textId="77777777" w:rsidR="0053400E" w:rsidRDefault="0053400E" w:rsidP="004453AE">
      <w:pPr>
        <w:pStyle w:val="Textoindependiente2"/>
        <w:spacing w:after="0" w:line="240" w:lineRule="auto"/>
        <w:ind w:left="0"/>
        <w:jc w:val="both"/>
        <w:rPr>
          <w:rFonts w:ascii="Bookman Old Style" w:hAnsi="Bookman Old Style"/>
          <w:lang w:val="es-CO"/>
        </w:rPr>
      </w:pPr>
    </w:p>
    <w:p w14:paraId="4176241F" w14:textId="649ABBC4" w:rsidR="00B91209" w:rsidRPr="00B0115E" w:rsidRDefault="00B0115E" w:rsidP="0032464C">
      <w:pPr>
        <w:pStyle w:val="Textoindependiente2"/>
        <w:spacing w:after="0" w:line="240" w:lineRule="auto"/>
        <w:ind w:left="0"/>
        <w:jc w:val="center"/>
        <w:rPr>
          <w:rFonts w:ascii="Bookman Old Style" w:hAnsi="Bookman Old Style"/>
          <w:lang w:val="es-CO"/>
        </w:rPr>
      </w:pPr>
      <w:r w:rsidRPr="00B0115E">
        <w:rPr>
          <w:rFonts w:ascii="Bookman Old Style" w:hAnsi="Bookman Old Style"/>
        </w:rPr>
        <w:t xml:space="preserve">Tabla </w:t>
      </w:r>
      <w:r w:rsidRPr="00B0115E">
        <w:rPr>
          <w:rFonts w:ascii="Bookman Old Style" w:hAnsi="Bookman Old Style"/>
        </w:rPr>
        <w:fldChar w:fldCharType="begin"/>
      </w:r>
      <w:r w:rsidRPr="00B0115E">
        <w:rPr>
          <w:rFonts w:ascii="Bookman Old Style" w:hAnsi="Bookman Old Style"/>
        </w:rPr>
        <w:instrText xml:space="preserve"> SEQ Tabla \* ARABIC </w:instrText>
      </w:r>
      <w:r w:rsidRPr="00B0115E">
        <w:rPr>
          <w:rFonts w:ascii="Bookman Old Style" w:hAnsi="Bookman Old Style"/>
        </w:rPr>
        <w:fldChar w:fldCharType="separate"/>
      </w:r>
      <w:r w:rsidR="006263D4">
        <w:rPr>
          <w:rFonts w:ascii="Bookman Old Style" w:hAnsi="Bookman Old Style"/>
          <w:noProof/>
        </w:rPr>
        <w:t>3</w:t>
      </w:r>
      <w:r w:rsidRPr="00B0115E">
        <w:rPr>
          <w:rFonts w:ascii="Bookman Old Style" w:hAnsi="Bookman Old Style"/>
          <w:noProof/>
        </w:rPr>
        <w:fldChar w:fldCharType="end"/>
      </w:r>
      <w:r w:rsidRPr="00B0115E">
        <w:rPr>
          <w:rFonts w:ascii="Bookman Old Style" w:hAnsi="Bookman Old Style"/>
          <w:noProof/>
        </w:rPr>
        <w:t xml:space="preserve"> </w:t>
      </w:r>
      <w:r w:rsidR="0032464C" w:rsidRPr="00B0115E">
        <w:rPr>
          <w:rFonts w:ascii="Bookman Old Style" w:hAnsi="Bookman Old Style"/>
          <w:lang w:val="es-CO"/>
        </w:rPr>
        <w:t>Pareja de cargos</w:t>
      </w:r>
      <w:r w:rsidR="00A17022" w:rsidRPr="00B0115E">
        <w:rPr>
          <w:rFonts w:ascii="Bookman Old Style" w:hAnsi="Bookman Old Style"/>
          <w:lang w:val="es-CO"/>
        </w:rPr>
        <w:t xml:space="preserve"> de gasoductos ramales </w:t>
      </w:r>
    </w:p>
    <w:p w14:paraId="15C31C42" w14:textId="4ABD4715" w:rsidR="00BD37F9" w:rsidRDefault="00D212CB" w:rsidP="00BB6C39">
      <w:pPr>
        <w:pStyle w:val="Textoindependiente2"/>
        <w:spacing w:after="0" w:line="240" w:lineRule="auto"/>
        <w:ind w:left="0"/>
        <w:jc w:val="both"/>
        <w:rPr>
          <w:rFonts w:ascii="Bookman Old Style" w:hAnsi="Bookman Old Style"/>
          <w:lang w:val="es-CO"/>
        </w:rPr>
      </w:pPr>
      <w:r>
        <w:rPr>
          <w:rFonts w:ascii="Bookman Old Style" w:hAnsi="Bookman Old Style"/>
          <w:noProof/>
          <w:lang w:val="es-CO"/>
        </w:rPr>
        <w:drawing>
          <wp:inline distT="0" distB="0" distL="0" distR="0" wp14:anchorId="1110F6E7" wp14:editId="6C3435DF">
            <wp:extent cx="5935554" cy="495077"/>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0942" cy="503867"/>
                    </a:xfrm>
                    <a:prstGeom prst="rect">
                      <a:avLst/>
                    </a:prstGeom>
                    <a:noFill/>
                  </pic:spPr>
                </pic:pic>
              </a:graphicData>
            </a:graphic>
          </wp:inline>
        </w:drawing>
      </w:r>
    </w:p>
    <w:p w14:paraId="65A6C733" w14:textId="77777777" w:rsidR="00B55C9E" w:rsidRDefault="00B55C9E" w:rsidP="00BB6C39">
      <w:pPr>
        <w:pStyle w:val="Textoindependiente2"/>
        <w:spacing w:after="0" w:line="240" w:lineRule="auto"/>
        <w:ind w:left="0"/>
        <w:jc w:val="both"/>
        <w:rPr>
          <w:rFonts w:ascii="Bookman Old Style" w:hAnsi="Bookman Old Style"/>
          <w:lang w:val="es-CO"/>
        </w:rPr>
      </w:pPr>
    </w:p>
    <w:p w14:paraId="53CC47A6" w14:textId="6AB0E9EE" w:rsidR="00E505E8" w:rsidRDefault="00B96D07" w:rsidP="00BB6C39">
      <w:pPr>
        <w:pStyle w:val="Textoindependiente2"/>
        <w:spacing w:after="0" w:line="240" w:lineRule="auto"/>
        <w:ind w:left="0"/>
        <w:jc w:val="both"/>
        <w:rPr>
          <w:rFonts w:ascii="Bookman Old Style" w:hAnsi="Bookman Old Style"/>
          <w:lang w:val="es-CO"/>
        </w:rPr>
      </w:pPr>
      <w:r w:rsidRPr="009710C3">
        <w:rPr>
          <w:rFonts w:ascii="Bookman Old Style" w:hAnsi="Bookman Old Style"/>
          <w:lang w:val="es-CO"/>
        </w:rPr>
        <w:t>L</w:t>
      </w:r>
      <w:r w:rsidR="00BB6C39" w:rsidRPr="009710C3">
        <w:rPr>
          <w:rFonts w:ascii="Bookman Old Style" w:hAnsi="Bookman Old Style"/>
          <w:lang w:val="es-CO"/>
        </w:rPr>
        <w:t xml:space="preserve">a Comisión de Regulación de Energía y Gas, en su sesión </w:t>
      </w:r>
      <w:r w:rsidR="00B44041" w:rsidRPr="009710C3">
        <w:rPr>
          <w:rFonts w:ascii="Bookman Old Style" w:hAnsi="Bookman Old Style"/>
          <w:lang w:val="es-CO"/>
        </w:rPr>
        <w:t xml:space="preserve">1224 </w:t>
      </w:r>
      <w:r w:rsidR="00BB6C39" w:rsidRPr="009710C3">
        <w:rPr>
          <w:rFonts w:ascii="Bookman Old Style" w:hAnsi="Bookman Old Style"/>
          <w:lang w:val="es-CO"/>
        </w:rPr>
        <w:t xml:space="preserve">del </w:t>
      </w:r>
      <w:r w:rsidR="00B44041" w:rsidRPr="009710C3">
        <w:rPr>
          <w:rFonts w:ascii="Bookman Old Style" w:hAnsi="Bookman Old Style"/>
          <w:lang w:val="es-CO"/>
        </w:rPr>
        <w:t>21</w:t>
      </w:r>
      <w:r w:rsidR="00BB6C39" w:rsidRPr="009710C3">
        <w:rPr>
          <w:rFonts w:ascii="Bookman Old Style" w:hAnsi="Bookman Old Style"/>
          <w:lang w:val="es-CO"/>
        </w:rPr>
        <w:t xml:space="preserve"> de </w:t>
      </w:r>
      <w:r w:rsidR="00B44041" w:rsidRPr="009710C3">
        <w:rPr>
          <w:rFonts w:ascii="Bookman Old Style" w:hAnsi="Bookman Old Style"/>
          <w:lang w:val="es-CO"/>
        </w:rPr>
        <w:t>diciembre</w:t>
      </w:r>
      <w:r w:rsidR="00BB6C39" w:rsidRPr="009710C3">
        <w:rPr>
          <w:rFonts w:ascii="Bookman Old Style" w:hAnsi="Bookman Old Style"/>
          <w:lang w:val="es-CO"/>
        </w:rPr>
        <w:t xml:space="preserve"> de 2022, aprobó la siguiente decisión mediante la cual se ajustan los cargos regulados </w:t>
      </w:r>
      <w:r w:rsidR="005C72C6" w:rsidRPr="009710C3">
        <w:rPr>
          <w:rFonts w:ascii="Bookman Old Style" w:hAnsi="Bookman Old Style"/>
          <w:lang w:val="es-CO"/>
        </w:rPr>
        <w:t>d</w:t>
      </w:r>
      <w:r w:rsidR="007B154B" w:rsidRPr="009710C3">
        <w:rPr>
          <w:rFonts w:ascii="Bookman Old Style" w:hAnsi="Bookman Old Style"/>
          <w:lang w:val="es-CO"/>
        </w:rPr>
        <w:t>el</w:t>
      </w:r>
      <w:r w:rsidR="00BB6C39" w:rsidRPr="009710C3">
        <w:rPr>
          <w:rFonts w:ascii="Bookman Old Style" w:hAnsi="Bookman Old Style"/>
          <w:lang w:val="es-CO"/>
        </w:rPr>
        <w:t xml:space="preserve"> sistema de transporte de </w:t>
      </w:r>
      <w:r w:rsidR="007B154B" w:rsidRPr="009710C3">
        <w:rPr>
          <w:rFonts w:ascii="Bookman Old Style" w:hAnsi="Bookman Old Style"/>
          <w:lang w:val="es-CO"/>
        </w:rPr>
        <w:t xml:space="preserve">TGI </w:t>
      </w:r>
      <w:r w:rsidR="00BB6C39" w:rsidRPr="009710C3">
        <w:rPr>
          <w:rFonts w:ascii="Bookman Old Style" w:hAnsi="Bookman Old Style"/>
          <w:lang w:val="es-CO"/>
        </w:rPr>
        <w:t xml:space="preserve">de </w:t>
      </w:r>
      <w:r w:rsidR="00A05F27" w:rsidRPr="009710C3">
        <w:rPr>
          <w:rFonts w:ascii="Bookman Old Style" w:hAnsi="Bookman Old Style"/>
          <w:lang w:val="es-CO"/>
        </w:rPr>
        <w:t>la resolución CREG</w:t>
      </w:r>
      <w:r w:rsidR="00A05F27">
        <w:rPr>
          <w:rFonts w:ascii="Bookman Old Style" w:hAnsi="Bookman Old Style"/>
          <w:lang w:val="es-CO"/>
        </w:rPr>
        <w:t xml:space="preserve"> 502 024 de 2022 de </w:t>
      </w:r>
      <w:r w:rsidR="00BB6C39" w:rsidRPr="00BB6C39">
        <w:rPr>
          <w:rFonts w:ascii="Bookman Old Style" w:hAnsi="Bookman Old Style"/>
          <w:lang w:val="es-CO"/>
        </w:rPr>
        <w:t xml:space="preserve">acuerdo con los valores </w:t>
      </w:r>
      <w:r w:rsidR="00BB6C39">
        <w:rPr>
          <w:rFonts w:ascii="Bookman Old Style" w:hAnsi="Bookman Old Style"/>
          <w:lang w:val="es-CO"/>
        </w:rPr>
        <w:t xml:space="preserve">VRAN y VAO </w:t>
      </w:r>
      <w:r w:rsidR="00BB6C39" w:rsidRPr="00BB6C39">
        <w:rPr>
          <w:rFonts w:ascii="Bookman Old Style" w:hAnsi="Bookman Old Style"/>
          <w:lang w:val="es-CO"/>
        </w:rPr>
        <w:t xml:space="preserve">aprobados en la </w:t>
      </w:r>
      <w:r w:rsidR="00BB6C39" w:rsidRPr="00BB6C39" w:rsidDel="00960DDF">
        <w:rPr>
          <w:rFonts w:ascii="Bookman Old Style" w:hAnsi="Bookman Old Style"/>
          <w:lang w:val="es-CO"/>
        </w:rPr>
        <w:t>R</w:t>
      </w:r>
      <w:r w:rsidR="00BB6C39" w:rsidRPr="00BB6C39">
        <w:rPr>
          <w:rFonts w:ascii="Bookman Old Style" w:hAnsi="Bookman Old Style"/>
          <w:lang w:val="es-CO"/>
        </w:rPr>
        <w:t xml:space="preserve">esolución CREG </w:t>
      </w:r>
      <w:r w:rsidR="007B154B">
        <w:rPr>
          <w:rFonts w:ascii="Bookman Old Style" w:hAnsi="Bookman Old Style"/>
          <w:lang w:val="es-CO"/>
        </w:rPr>
        <w:t>099</w:t>
      </w:r>
      <w:r w:rsidR="00BB6C39" w:rsidRPr="00BB6C39">
        <w:rPr>
          <w:rFonts w:ascii="Bookman Old Style" w:hAnsi="Bookman Old Style"/>
          <w:lang w:val="es-CO"/>
        </w:rPr>
        <w:t xml:space="preserve"> de 2021</w:t>
      </w:r>
      <w:r w:rsidR="00C622DB">
        <w:rPr>
          <w:rFonts w:ascii="Bookman Old Style" w:hAnsi="Bookman Old Style"/>
          <w:lang w:val="es-CO"/>
        </w:rPr>
        <w:t>,</w:t>
      </w:r>
      <w:r w:rsidR="00D90EAE" w:rsidDel="00C622DB">
        <w:rPr>
          <w:rFonts w:ascii="Bookman Old Style" w:hAnsi="Bookman Old Style"/>
          <w:lang w:val="es-CO"/>
        </w:rPr>
        <w:t xml:space="preserve"> </w:t>
      </w:r>
      <w:r w:rsidR="00960DDF">
        <w:rPr>
          <w:rFonts w:ascii="Bookman Old Style" w:hAnsi="Bookman Old Style"/>
          <w:lang w:val="es-CO"/>
        </w:rPr>
        <w:t>los valores a retirar aprobados mediante la Resolución CREG 231 de 2021</w:t>
      </w:r>
      <w:r w:rsidR="005C72C6">
        <w:rPr>
          <w:rFonts w:ascii="Bookman Old Style" w:hAnsi="Bookman Old Style"/>
          <w:lang w:val="es-CO"/>
        </w:rPr>
        <w:t>,</w:t>
      </w:r>
      <w:r w:rsidR="00D90EAE">
        <w:rPr>
          <w:rFonts w:ascii="Bookman Old Style" w:hAnsi="Bookman Old Style"/>
          <w:lang w:val="es-CO"/>
        </w:rPr>
        <w:t xml:space="preserve"> </w:t>
      </w:r>
      <w:r w:rsidR="00C971C3">
        <w:rPr>
          <w:rFonts w:ascii="Bookman Old Style" w:hAnsi="Bookman Old Style"/>
          <w:lang w:val="es-CO"/>
        </w:rPr>
        <w:t>se da aplicación a lo</w:t>
      </w:r>
      <w:r w:rsidR="00D90EAE">
        <w:rPr>
          <w:rFonts w:ascii="Bookman Old Style" w:hAnsi="Bookman Old Style"/>
          <w:lang w:val="es-CO"/>
        </w:rPr>
        <w:t xml:space="preserve"> establecido en el artículo 7 de la Resolución </w:t>
      </w:r>
      <w:r w:rsidR="00CB65F0">
        <w:rPr>
          <w:rFonts w:ascii="Bookman Old Style" w:hAnsi="Bookman Old Style"/>
          <w:lang w:val="es-CO"/>
        </w:rPr>
        <w:t xml:space="preserve">CREG </w:t>
      </w:r>
      <w:r w:rsidR="00D90EAE">
        <w:rPr>
          <w:rFonts w:ascii="Bookman Old Style" w:hAnsi="Bookman Old Style"/>
          <w:lang w:val="es-CO"/>
        </w:rPr>
        <w:t>175 de 2021</w:t>
      </w:r>
      <w:r w:rsidR="00BB6C39" w:rsidRPr="00BB6C39">
        <w:rPr>
          <w:rFonts w:ascii="Bookman Old Style" w:hAnsi="Bookman Old Style"/>
          <w:lang w:val="es-CO"/>
        </w:rPr>
        <w:t>.</w:t>
      </w:r>
    </w:p>
    <w:p w14:paraId="591B3491" w14:textId="03BC718D" w:rsidR="00BB6C39" w:rsidRDefault="00BB6C39" w:rsidP="003B1686">
      <w:pPr>
        <w:pStyle w:val="Textoindependiente2"/>
        <w:spacing w:after="0" w:line="240" w:lineRule="auto"/>
        <w:ind w:left="0" w:right="284"/>
        <w:jc w:val="both"/>
        <w:rPr>
          <w:rFonts w:ascii="Bookman Old Style" w:hAnsi="Bookman Old Style"/>
          <w:lang w:val="es-CO"/>
        </w:rPr>
      </w:pPr>
    </w:p>
    <w:p w14:paraId="2562B76D" w14:textId="1CAD7EE6" w:rsidR="00620335" w:rsidRDefault="00620335" w:rsidP="00501A2C">
      <w:pPr>
        <w:pStyle w:val="Tit1"/>
        <w:numPr>
          <w:ilvl w:val="0"/>
          <w:numId w:val="0"/>
        </w:numPr>
        <w:ind w:left="357" w:hanging="357"/>
        <w:jc w:val="center"/>
      </w:pPr>
      <w:r w:rsidRPr="005A1326">
        <w:t>R E S U E L V E:</w:t>
      </w:r>
    </w:p>
    <w:p w14:paraId="1EA9EC0B" w14:textId="315E1CE1" w:rsidR="00E64FF7" w:rsidRPr="001A3546" w:rsidRDefault="00E015AF" w:rsidP="00E015AF">
      <w:pPr>
        <w:pStyle w:val="ARTICULOS"/>
        <w:tabs>
          <w:tab w:val="left" w:pos="709"/>
          <w:tab w:val="left" w:pos="1701"/>
          <w:tab w:val="right" w:leader="dot" w:pos="9356"/>
        </w:tabs>
        <w:spacing w:before="240"/>
        <w:ind w:firstLine="0"/>
        <w:contextualSpacing w:val="0"/>
        <w:rPr>
          <w:rFonts w:eastAsia="Arial Unicode MS" w:cs="Arial"/>
        </w:rPr>
      </w:pPr>
      <w:bookmarkStart w:id="5" w:name="_Ref469931328"/>
      <w:r>
        <w:rPr>
          <w:lang w:val="es-CO"/>
        </w:rPr>
        <w:t>Modificar</w:t>
      </w:r>
      <w:r w:rsidR="00574553">
        <w:rPr>
          <w:lang w:val="es-CO"/>
        </w:rPr>
        <w:t xml:space="preserve"> el artículo 4 de la Resolución CREG 502 </w:t>
      </w:r>
      <w:r w:rsidR="0024547C">
        <w:rPr>
          <w:lang w:val="es-CO"/>
        </w:rPr>
        <w:t>02</w:t>
      </w:r>
      <w:r w:rsidR="00195B13">
        <w:rPr>
          <w:lang w:val="es-CO"/>
        </w:rPr>
        <w:t>4</w:t>
      </w:r>
      <w:r w:rsidR="004342B0">
        <w:rPr>
          <w:lang w:val="es-CO"/>
        </w:rPr>
        <w:t xml:space="preserve"> de 2022, el cual quedará así</w:t>
      </w:r>
      <w:r w:rsidR="00E64FF7">
        <w:rPr>
          <w:lang w:val="es-CO"/>
        </w:rPr>
        <w:t>:</w:t>
      </w:r>
    </w:p>
    <w:p w14:paraId="262623A3" w14:textId="51862F10" w:rsidR="00E015AF" w:rsidRDefault="00E64FF7" w:rsidP="005A6D58">
      <w:pPr>
        <w:pStyle w:val="ARTICULOS"/>
        <w:numPr>
          <w:ilvl w:val="0"/>
          <w:numId w:val="0"/>
        </w:numPr>
        <w:tabs>
          <w:tab w:val="left" w:pos="709"/>
          <w:tab w:val="left" w:pos="1701"/>
          <w:tab w:val="right" w:leader="dot" w:pos="9356"/>
        </w:tabs>
        <w:spacing w:before="240"/>
        <w:ind w:left="284"/>
        <w:contextualSpacing w:val="0"/>
        <w:rPr>
          <w:i/>
        </w:rPr>
      </w:pPr>
      <w:r w:rsidRPr="001A3546">
        <w:rPr>
          <w:i/>
          <w:lang w:val="es-CO"/>
        </w:rPr>
        <w:t>“Artículo 4. Modificar</w:t>
      </w:r>
      <w:r w:rsidR="00E015AF" w:rsidRPr="001A3546">
        <w:rPr>
          <w:i/>
        </w:rPr>
        <w:t xml:space="preserve"> el artículo 9 de la Resolución CREG 110 de 2011, modificado por el artículo </w:t>
      </w:r>
      <w:r w:rsidR="00E015AF" w:rsidRPr="001A3546">
        <w:rPr>
          <w:i/>
          <w:lang w:val="es-CO"/>
        </w:rPr>
        <w:t>4</w:t>
      </w:r>
      <w:r w:rsidR="00E015AF" w:rsidRPr="001A3546">
        <w:rPr>
          <w:i/>
        </w:rPr>
        <w:t xml:space="preserve"> de la Resolución CREG </w:t>
      </w:r>
      <w:r w:rsidR="000D66B0" w:rsidRPr="001A3546">
        <w:rPr>
          <w:i/>
          <w:lang w:val="es-CO"/>
        </w:rPr>
        <w:t>106</w:t>
      </w:r>
      <w:r w:rsidR="00E015AF" w:rsidRPr="001A3546">
        <w:rPr>
          <w:i/>
        </w:rPr>
        <w:t xml:space="preserve"> de 201</w:t>
      </w:r>
      <w:r w:rsidR="000D66B0" w:rsidRPr="001A3546">
        <w:rPr>
          <w:i/>
          <w:lang w:val="es-ES"/>
        </w:rPr>
        <w:t>8</w:t>
      </w:r>
      <w:r w:rsidR="00E015AF" w:rsidRPr="001A3546">
        <w:rPr>
          <w:i/>
        </w:rPr>
        <w:t>, el cual quedará así:</w:t>
      </w:r>
    </w:p>
    <w:p w14:paraId="340CEB54" w14:textId="77777777" w:rsidR="005A6D58" w:rsidRPr="005A6D58" w:rsidRDefault="005A6D58" w:rsidP="00D42104">
      <w:pPr>
        <w:pStyle w:val="ARTICULOS"/>
        <w:numPr>
          <w:ilvl w:val="0"/>
          <w:numId w:val="0"/>
        </w:numPr>
        <w:tabs>
          <w:tab w:val="left" w:pos="709"/>
          <w:tab w:val="left" w:pos="1701"/>
          <w:tab w:val="right" w:leader="dot" w:pos="9356"/>
        </w:tabs>
        <w:spacing w:before="120"/>
        <w:ind w:left="284"/>
        <w:contextualSpacing w:val="0"/>
        <w:rPr>
          <w:rFonts w:eastAsia="Arial Unicode MS" w:cs="Arial"/>
          <w:i/>
        </w:rPr>
      </w:pPr>
    </w:p>
    <w:p w14:paraId="2031F61D" w14:textId="77777777" w:rsidR="00E015AF" w:rsidRDefault="00E015AF" w:rsidP="001A3546">
      <w:pPr>
        <w:ind w:left="568"/>
        <w:jc w:val="both"/>
        <w:rPr>
          <w:sz w:val="22"/>
        </w:rPr>
      </w:pPr>
      <w:r w:rsidRPr="001A3546">
        <w:rPr>
          <w:i/>
          <w:sz w:val="22"/>
        </w:rPr>
        <w:t>“</w:t>
      </w:r>
      <w:r w:rsidRPr="001A3546">
        <w:rPr>
          <w:b/>
          <w:i/>
          <w:sz w:val="22"/>
        </w:rPr>
        <w:t>Artículo 9.</w:t>
      </w:r>
      <w:r w:rsidRPr="001A3546">
        <w:rPr>
          <w:i/>
          <w:sz w:val="22"/>
        </w:rPr>
        <w:t xml:space="preserve"> Cargos Regulados de Referencia para la Remuneración de los Costos de Inversión. Para remunerar los costos de inversión para el sistema de transporte definido en el artículo 1 de esta Resolución, de conformidad con lo establecido en la Resolución CREG 126 de 2010, se aprueban las siguientes parejas de cargos regulados:</w:t>
      </w:r>
    </w:p>
    <w:p w14:paraId="3A42FF85" w14:textId="77777777" w:rsidR="00EB6F0A" w:rsidRDefault="00EB6F0A" w:rsidP="005A6D58">
      <w:pPr>
        <w:rPr>
          <w:sz w:val="22"/>
        </w:rPr>
      </w:pPr>
    </w:p>
    <w:tbl>
      <w:tblPr>
        <w:tblW w:w="5000" w:type="pct"/>
        <w:tblCellMar>
          <w:left w:w="70" w:type="dxa"/>
          <w:right w:w="70" w:type="dxa"/>
        </w:tblCellMar>
        <w:tblLook w:val="04A0" w:firstRow="1" w:lastRow="0" w:firstColumn="1" w:lastColumn="0" w:noHBand="0" w:noVBand="1"/>
      </w:tblPr>
      <w:tblGrid>
        <w:gridCol w:w="2506"/>
        <w:gridCol w:w="1276"/>
        <w:gridCol w:w="1367"/>
        <w:gridCol w:w="910"/>
        <w:gridCol w:w="975"/>
        <w:gridCol w:w="1083"/>
        <w:gridCol w:w="1229"/>
      </w:tblGrid>
      <w:tr w:rsidR="00D26792" w:rsidRPr="00D26792" w14:paraId="46489D78" w14:textId="77777777" w:rsidTr="0016247E">
        <w:trPr>
          <w:trHeight w:val="300"/>
          <w:tblHeader/>
        </w:trPr>
        <w:tc>
          <w:tcPr>
            <w:tcW w:w="134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07FEFAD1"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 xml:space="preserve">% </w:t>
            </w:r>
            <w:proofErr w:type="gramStart"/>
            <w:r w:rsidRPr="00CE304A">
              <w:rPr>
                <w:rFonts w:eastAsia="Times New Roman" w:cs="Calibri"/>
                <w:b/>
                <w:bCs/>
                <w:sz w:val="21"/>
                <w:szCs w:val="21"/>
                <w:lang w:eastAsia="es-MX"/>
              </w:rPr>
              <w:t>Fijo[</w:t>
            </w:r>
            <w:proofErr w:type="gramEnd"/>
            <w:r w:rsidRPr="00CE304A">
              <w:rPr>
                <w:rFonts w:eastAsia="Times New Roman" w:cs="Calibri"/>
                <w:b/>
                <w:bCs/>
                <w:sz w:val="21"/>
                <w:szCs w:val="21"/>
                <w:lang w:eastAsia="es-MX"/>
              </w:rPr>
              <w:t>1]</w:t>
            </w:r>
          </w:p>
        </w:tc>
        <w:tc>
          <w:tcPr>
            <w:tcW w:w="67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BE8C604"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TIPO</w:t>
            </w:r>
          </w:p>
        </w:tc>
        <w:tc>
          <w:tcPr>
            <w:tcW w:w="72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0C017A19"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0%</w:t>
            </w:r>
          </w:p>
        </w:tc>
        <w:tc>
          <w:tcPr>
            <w:tcW w:w="48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FB5C11D"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20%</w:t>
            </w:r>
          </w:p>
        </w:tc>
        <w:tc>
          <w:tcPr>
            <w:tcW w:w="523"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6ABE3991"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40%</w:t>
            </w:r>
          </w:p>
        </w:tc>
        <w:tc>
          <w:tcPr>
            <w:tcW w:w="584"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1EB36D2F"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50%</w:t>
            </w:r>
          </w:p>
        </w:tc>
        <w:tc>
          <w:tcPr>
            <w:tcW w:w="667"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64706110" w14:textId="77777777" w:rsidR="00CE304A" w:rsidRPr="00CE304A" w:rsidRDefault="00CE304A" w:rsidP="00CE304A">
            <w:pPr>
              <w:spacing w:after="0"/>
              <w:contextualSpacing w:val="0"/>
              <w:jc w:val="center"/>
              <w:rPr>
                <w:rFonts w:eastAsia="Times New Roman" w:cs="Calibri"/>
                <w:b/>
                <w:bCs/>
                <w:sz w:val="21"/>
                <w:szCs w:val="21"/>
                <w:lang w:eastAsia="es-MX"/>
              </w:rPr>
            </w:pPr>
            <w:r w:rsidRPr="00CE304A">
              <w:rPr>
                <w:rFonts w:eastAsia="Times New Roman" w:cs="Calibri"/>
                <w:b/>
                <w:bCs/>
                <w:sz w:val="21"/>
                <w:szCs w:val="21"/>
                <w:lang w:eastAsia="es-MX"/>
              </w:rPr>
              <w:t>60%</w:t>
            </w:r>
          </w:p>
        </w:tc>
      </w:tr>
      <w:tr w:rsidR="00946DAC" w:rsidRPr="00D26792" w14:paraId="57D5572D"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ACDEBB1" w14:textId="77777777" w:rsidR="00946DAC" w:rsidRPr="00CE304A" w:rsidRDefault="00946DAC" w:rsidP="00946DAC">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Ballena - Barrancabermeja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D7E31A" w14:textId="77777777" w:rsidR="00946DAC" w:rsidRPr="00CE304A" w:rsidRDefault="00946DAC" w:rsidP="00946DAC">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0D305BC0" w14:textId="56E1C5F9"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133C9F9B" w14:textId="2E74B501"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48,718</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17C3C265" w14:textId="4E50AF25"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97,436</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4C05624D" w14:textId="085BF8BC"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121,796</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0598F400" w14:textId="4B61F30D"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146,155</w:t>
            </w:r>
          </w:p>
        </w:tc>
      </w:tr>
      <w:tr w:rsidR="00946DAC" w:rsidRPr="00D26792" w14:paraId="7E487129"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E7E3583" w14:textId="77777777" w:rsidR="00946DAC" w:rsidRPr="00CE304A" w:rsidRDefault="00946DAC" w:rsidP="00946DAC">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Ballena - Barrancabermeja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AD7A61A" w14:textId="77777777" w:rsidR="00946DAC" w:rsidRPr="00CE304A" w:rsidRDefault="00946DAC" w:rsidP="00946DAC">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7E0C002B" w14:textId="2886DB6B"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1,223</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2D6F71D3" w14:textId="589C6C8A"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0,978</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276E7D67" w14:textId="03FCCDB7"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0,734</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54CD9269" w14:textId="146CA852"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0,611</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6D76B69C" w14:textId="2782062A" w:rsidR="00946DAC" w:rsidRPr="00946DAC" w:rsidRDefault="00946DAC" w:rsidP="00946DAC">
            <w:pPr>
              <w:spacing w:after="0"/>
              <w:contextualSpacing w:val="0"/>
              <w:jc w:val="right"/>
              <w:rPr>
                <w:rFonts w:eastAsia="Times New Roman" w:cs="Calibri"/>
                <w:sz w:val="21"/>
                <w:szCs w:val="21"/>
                <w:lang w:eastAsia="es-MX"/>
              </w:rPr>
            </w:pPr>
            <w:r w:rsidRPr="00946DAC">
              <w:rPr>
                <w:rFonts w:cs="Calibri"/>
                <w:sz w:val="21"/>
                <w:szCs w:val="21"/>
              </w:rPr>
              <w:t>0,489</w:t>
            </w:r>
          </w:p>
        </w:tc>
      </w:tr>
      <w:tr w:rsidR="00946DAC" w:rsidRPr="00D26792" w14:paraId="513C0A73"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2A20B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Barrancabermeja - Sebastopol</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735D8D5"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CC40B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1DC78E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21,747</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1866B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43,493</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28E73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54,367</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53B5BC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65,240</w:t>
            </w:r>
          </w:p>
        </w:tc>
      </w:tr>
      <w:tr w:rsidR="00D26792" w:rsidRPr="00D26792" w14:paraId="6F28D670"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69C9F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lastRenderedPageBreak/>
              <w:t>Barrancabermeja - Sebastopol</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763A64"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2AAB52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0,790</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F4035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0,632</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31F18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0,474</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0CCEA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0,395</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6065A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0,316</w:t>
            </w:r>
          </w:p>
        </w:tc>
      </w:tr>
      <w:tr w:rsidR="00946DAC" w:rsidRPr="00D26792" w14:paraId="7A3D7486"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CB782EC"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Sebastopol - Vasconia</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7265180"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119D6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D1373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8,914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40F46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17,829</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EDEE9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22,286</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E5E98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26,743</w:t>
            </w:r>
          </w:p>
        </w:tc>
      </w:tr>
      <w:tr w:rsidR="00D26792" w:rsidRPr="00D26792" w14:paraId="13A9261B"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2AC42A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Sebastopol - Vasconia</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84B709"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6EB5F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0,437</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480C4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0,349</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0B5B6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0,262</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BD677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0,218</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360D4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0,175</w:t>
            </w:r>
          </w:p>
        </w:tc>
      </w:tr>
      <w:tr w:rsidR="00946DAC" w:rsidRPr="00D26792" w14:paraId="365AC8FB"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279946" w14:textId="32FD896B"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Vasconia </w:t>
            </w:r>
            <w:r w:rsidR="00C83348" w:rsidRPr="00CE304A">
              <w:rPr>
                <w:rFonts w:eastAsia="Times New Roman" w:cs="Calibri"/>
                <w:sz w:val="21"/>
                <w:szCs w:val="21"/>
                <w:lang w:eastAsia="es-MX"/>
              </w:rPr>
              <w:t>- Mariquita</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92FE680"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AA8EB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331267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21,246</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F9DA15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42,491</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D432EB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53,114</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5631CF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63,737</w:t>
            </w:r>
          </w:p>
        </w:tc>
      </w:tr>
      <w:tr w:rsidR="00D26792" w:rsidRPr="00D26792" w14:paraId="66533384"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DD2730" w14:textId="2862B11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Vasconia </w:t>
            </w:r>
            <w:r w:rsidR="00C83348" w:rsidRPr="00CE304A">
              <w:rPr>
                <w:rFonts w:eastAsia="Times New Roman" w:cs="Calibri"/>
                <w:sz w:val="21"/>
                <w:szCs w:val="21"/>
                <w:lang w:eastAsia="es-MX"/>
              </w:rPr>
              <w:t>- Mariquita</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354CC1"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CE6CA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0,515</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B2BACD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0,412</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591BFD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0,309</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78925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0,257</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93C0A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0,206</w:t>
            </w:r>
          </w:p>
        </w:tc>
      </w:tr>
      <w:tr w:rsidR="00946DAC" w:rsidRPr="00D26792" w14:paraId="429A9586"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0EC2F2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Vasconia - La Belleza</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DA1A6D"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349BF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5040C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24,215</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FD2CBC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48,430</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E103F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60,538</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762C13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72,645</w:t>
            </w:r>
          </w:p>
        </w:tc>
      </w:tr>
      <w:tr w:rsidR="00D26792" w:rsidRPr="00D26792" w14:paraId="4B0254EB"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F6700E8"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Vasconia - La Belleza</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D9AAC34"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CD449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0,578</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CE59D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0,463</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58301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0,347</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38DC2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0,289</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62DE9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0,231</w:t>
            </w:r>
          </w:p>
        </w:tc>
      </w:tr>
      <w:tr w:rsidR="00946DAC" w:rsidRPr="00D26792" w14:paraId="26C72D75"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380A432"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El Porvenir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27F06C"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3F4C6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362FE3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45,450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BF1B9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90,900</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92054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113,626</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1E1996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136,351</w:t>
            </w:r>
          </w:p>
        </w:tc>
      </w:tr>
      <w:tr w:rsidR="00D26792" w:rsidRPr="00D26792" w14:paraId="77270C3C"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27B2F3"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El Porvenir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08FF21"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30493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1,016</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758D9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0,813</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C6703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0,610</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CBBFF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0,508</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8FC28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0,407</w:t>
            </w:r>
          </w:p>
        </w:tc>
      </w:tr>
      <w:tr w:rsidR="00946DAC" w:rsidRPr="00D26792" w14:paraId="2299D47B"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00D4D6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Pereira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95F997A"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38F991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F1C56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27,153</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2FC2E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54,307</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55361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67,883</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B08FB3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81,460</w:t>
            </w:r>
          </w:p>
        </w:tc>
      </w:tr>
      <w:tr w:rsidR="00D26792" w:rsidRPr="00D26792" w14:paraId="03783022"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793D64"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Pereira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34DC7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FB022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0,713</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8F384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0,570</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6E033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0,428</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7F40A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0,356</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E1474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0,285</w:t>
            </w:r>
          </w:p>
        </w:tc>
      </w:tr>
      <w:tr w:rsidR="00946DAC" w:rsidRPr="00D26792" w14:paraId="47EAE42E"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4DB4AD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Pereira - Armenia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BD1EBD2"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F50C47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8DAF4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9,542</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E8AB4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19,084</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A3E4DA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23,855</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3351EC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28,626</w:t>
            </w:r>
          </w:p>
        </w:tc>
      </w:tr>
      <w:tr w:rsidR="00D26792" w:rsidRPr="00D26792" w14:paraId="350A486E"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940866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Pereira - Armenia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7151D8"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5DB44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0,266</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DA7F8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0,213</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75A650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0,159</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E2D6B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0,133</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534EF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0,106</w:t>
            </w:r>
          </w:p>
        </w:tc>
      </w:tr>
      <w:tr w:rsidR="00946DAC" w:rsidRPr="00D26792" w14:paraId="4CF2324C"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6897BD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Armenia - Cali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3613682"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74EAA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5BB35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21,931</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3FB9E7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43,863</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6FB2C3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54,828</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CDC5D4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65,794</w:t>
            </w:r>
          </w:p>
        </w:tc>
      </w:tr>
      <w:tr w:rsidR="00D26792" w:rsidRPr="00D26792" w14:paraId="3B88A032"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80637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Armenia - Cali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2751F4E"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23EC0F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0,640</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7D951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0,512</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CDEA5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0,384</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A350D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0,320</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61F88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0,256</w:t>
            </w:r>
          </w:p>
        </w:tc>
      </w:tr>
      <w:tr w:rsidR="00946DAC" w:rsidRPr="00D26792" w14:paraId="3A3A00C9"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7684BF"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Gualanday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CF3A0C"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CF2D41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BE9E2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74,627</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DC6931E" w14:textId="77777777" w:rsidR="00CE304A" w:rsidRPr="00CE304A" w:rsidRDefault="00CE304A" w:rsidP="00CE304A">
            <w:pPr>
              <w:spacing w:after="0"/>
              <w:contextualSpacing w:val="0"/>
              <w:jc w:val="right"/>
              <w:rPr>
                <w:rFonts w:eastAsia="Times New Roman" w:cs="Calibri"/>
                <w:sz w:val="21"/>
                <w:szCs w:val="21"/>
                <w:lang w:eastAsia="es-MX"/>
              </w:rPr>
            </w:pPr>
            <w:r w:rsidRPr="002955F9">
              <w:rPr>
                <w:rFonts w:eastAsia="Times New Roman" w:cs="Calibri"/>
                <w:sz w:val="20"/>
                <w:szCs w:val="20"/>
                <w:lang w:eastAsia="es-MX"/>
              </w:rPr>
              <w:t>149,254</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606A1E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186,568</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7E7AC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223,882</w:t>
            </w:r>
          </w:p>
        </w:tc>
      </w:tr>
      <w:tr w:rsidR="00D26792" w:rsidRPr="00D26792" w14:paraId="7B58C9D7"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3CF19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Mariquita - Gualanday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0D0E23"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E43E3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1,251</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33943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1,001</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CA638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0,751</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588EE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0,626</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6F067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0,501</w:t>
            </w:r>
          </w:p>
        </w:tc>
      </w:tr>
      <w:tr w:rsidR="00946DAC" w:rsidRPr="00D26792" w14:paraId="5CF40E31"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44348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Gualanday - Neiva</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BA080A8"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745D7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315234" w14:textId="77777777" w:rsidR="00CE304A" w:rsidRPr="00A94745" w:rsidRDefault="00CE304A" w:rsidP="00CE304A">
            <w:pPr>
              <w:spacing w:after="0"/>
              <w:contextualSpacing w:val="0"/>
              <w:jc w:val="right"/>
              <w:rPr>
                <w:rFonts w:eastAsia="Times New Roman" w:cs="Calibri"/>
                <w:sz w:val="18"/>
                <w:szCs w:val="18"/>
                <w:lang w:eastAsia="es-MX"/>
              </w:rPr>
            </w:pPr>
            <w:r w:rsidRPr="00A94745">
              <w:rPr>
                <w:rFonts w:eastAsia="Times New Roman" w:cs="Calibri"/>
                <w:sz w:val="18"/>
                <w:szCs w:val="18"/>
                <w:lang w:eastAsia="es-MX"/>
              </w:rPr>
              <w:t>265,714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D2B576E" w14:textId="77777777" w:rsidR="00CE304A" w:rsidRPr="00A94745" w:rsidRDefault="00CE304A" w:rsidP="00CE304A">
            <w:pPr>
              <w:spacing w:after="0"/>
              <w:contextualSpacing w:val="0"/>
              <w:jc w:val="right"/>
              <w:rPr>
                <w:rFonts w:eastAsia="Times New Roman" w:cs="Calibri"/>
                <w:sz w:val="18"/>
                <w:szCs w:val="18"/>
                <w:lang w:eastAsia="es-MX"/>
              </w:rPr>
            </w:pPr>
            <w:r w:rsidRPr="00A94745">
              <w:rPr>
                <w:rFonts w:eastAsia="Times New Roman" w:cs="Calibri"/>
                <w:sz w:val="18"/>
                <w:szCs w:val="18"/>
                <w:lang w:eastAsia="es-MX"/>
              </w:rPr>
              <w:t>531,429</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2C5D5D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664,286</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A8E8B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797,143</w:t>
            </w:r>
          </w:p>
        </w:tc>
      </w:tr>
      <w:tr w:rsidR="00D26792" w:rsidRPr="00D26792" w14:paraId="67EB5B93"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9D14E9C"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Gualanday - Neiva</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C1843A"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FA587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4,665</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20E4A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3,732</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F104E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2,799</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756062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2,333</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3615B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1,866</w:t>
            </w:r>
          </w:p>
        </w:tc>
      </w:tr>
      <w:tr w:rsidR="00946DAC" w:rsidRPr="00D26792" w14:paraId="3150520C"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2517A7" w14:textId="77777777" w:rsidR="00CE304A" w:rsidRPr="00CE304A" w:rsidRDefault="00CE304A" w:rsidP="00CE304A">
            <w:pPr>
              <w:spacing w:after="0"/>
              <w:contextualSpacing w:val="0"/>
              <w:rPr>
                <w:rFonts w:eastAsia="Times New Roman" w:cs="Calibri"/>
                <w:sz w:val="21"/>
                <w:szCs w:val="21"/>
                <w:lang w:eastAsia="es-MX"/>
              </w:rPr>
            </w:pPr>
            <w:proofErr w:type="spellStart"/>
            <w:r w:rsidRPr="00CE304A">
              <w:rPr>
                <w:rFonts w:eastAsia="Times New Roman" w:cs="Calibri"/>
                <w:sz w:val="21"/>
                <w:szCs w:val="21"/>
                <w:lang w:eastAsia="es-MX"/>
              </w:rPr>
              <w:t>Montañuelo</w:t>
            </w:r>
            <w:proofErr w:type="spellEnd"/>
            <w:r w:rsidRPr="00CE304A">
              <w:rPr>
                <w:rFonts w:eastAsia="Times New Roman" w:cs="Calibri"/>
                <w:sz w:val="21"/>
                <w:szCs w:val="21"/>
                <w:lang w:eastAsia="es-MX"/>
              </w:rPr>
              <w:t xml:space="preserve"> - Gualanday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909482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22860B" w14:textId="77777777"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7D2777" w14:textId="7540B6A7"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6</w:t>
            </w:r>
            <w:r w:rsidR="000D2F1D" w:rsidRPr="00F25A48">
              <w:rPr>
                <w:rFonts w:eastAsia="Times New Roman" w:cs="Calibri"/>
                <w:sz w:val="15"/>
                <w:szCs w:val="15"/>
                <w:lang w:eastAsia="es-MX"/>
              </w:rPr>
              <w:t>.</w:t>
            </w:r>
            <w:r w:rsidRPr="00F25A48">
              <w:rPr>
                <w:rFonts w:eastAsia="Times New Roman" w:cs="Calibri"/>
                <w:sz w:val="15"/>
                <w:szCs w:val="15"/>
                <w:lang w:eastAsia="es-MX"/>
              </w:rPr>
              <w:t>503,933</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5FE768" w14:textId="4EAC0DCB" w:rsidR="00CE304A" w:rsidRPr="00F25A48" w:rsidRDefault="00CE304A" w:rsidP="00CE304A">
            <w:pPr>
              <w:spacing w:after="0"/>
              <w:contextualSpacing w:val="0"/>
              <w:jc w:val="right"/>
              <w:rPr>
                <w:rFonts w:eastAsia="Times New Roman" w:cs="Calibri"/>
                <w:sz w:val="15"/>
                <w:szCs w:val="15"/>
                <w:lang w:eastAsia="es-MX"/>
              </w:rPr>
            </w:pPr>
            <w:r w:rsidRPr="00023C28">
              <w:rPr>
                <w:rFonts w:eastAsia="Times New Roman" w:cs="Calibri"/>
                <w:sz w:val="13"/>
                <w:szCs w:val="13"/>
                <w:lang w:eastAsia="es-MX"/>
              </w:rPr>
              <w:t>13</w:t>
            </w:r>
            <w:r w:rsidR="000D2F1D" w:rsidRPr="00023C28">
              <w:rPr>
                <w:rFonts w:eastAsia="Times New Roman" w:cs="Calibri"/>
                <w:sz w:val="13"/>
                <w:szCs w:val="13"/>
                <w:lang w:eastAsia="es-MX"/>
              </w:rPr>
              <w:t>.</w:t>
            </w:r>
            <w:r w:rsidRPr="00023C28">
              <w:rPr>
                <w:rFonts w:eastAsia="Times New Roman" w:cs="Calibri"/>
                <w:sz w:val="13"/>
                <w:szCs w:val="13"/>
                <w:lang w:eastAsia="es-MX"/>
              </w:rPr>
              <w:t>007,866</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93D5F31" w14:textId="3999F897"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16</w:t>
            </w:r>
            <w:r w:rsidR="000D2F1D" w:rsidRPr="00F25A48">
              <w:rPr>
                <w:rFonts w:eastAsia="Times New Roman" w:cs="Calibri"/>
                <w:sz w:val="15"/>
                <w:szCs w:val="15"/>
                <w:lang w:eastAsia="es-MX"/>
              </w:rPr>
              <w:t>.</w:t>
            </w:r>
            <w:r w:rsidRPr="00F25A48">
              <w:rPr>
                <w:rFonts w:eastAsia="Times New Roman" w:cs="Calibri"/>
                <w:sz w:val="15"/>
                <w:szCs w:val="15"/>
                <w:lang w:eastAsia="es-MX"/>
              </w:rPr>
              <w:t>259,833</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279AF8C" w14:textId="62E29C82" w:rsidR="00CE304A" w:rsidRPr="00F25A48" w:rsidRDefault="00CE304A" w:rsidP="00CE304A">
            <w:pPr>
              <w:spacing w:after="0"/>
              <w:contextualSpacing w:val="0"/>
              <w:jc w:val="right"/>
              <w:rPr>
                <w:rFonts w:eastAsia="Times New Roman" w:cs="Calibri"/>
                <w:sz w:val="15"/>
                <w:szCs w:val="15"/>
                <w:lang w:eastAsia="es-MX"/>
              </w:rPr>
            </w:pPr>
            <w:r w:rsidRPr="00F25A48">
              <w:rPr>
                <w:rFonts w:eastAsia="Times New Roman" w:cs="Calibri"/>
                <w:sz w:val="15"/>
                <w:szCs w:val="15"/>
                <w:lang w:eastAsia="es-MX"/>
              </w:rPr>
              <w:t>19</w:t>
            </w:r>
            <w:r w:rsidR="000D2F1D" w:rsidRPr="00F25A48">
              <w:rPr>
                <w:rFonts w:eastAsia="Times New Roman" w:cs="Calibri"/>
                <w:sz w:val="15"/>
                <w:szCs w:val="15"/>
                <w:lang w:eastAsia="es-MX"/>
              </w:rPr>
              <w:t>.</w:t>
            </w:r>
            <w:r w:rsidRPr="00F25A48">
              <w:rPr>
                <w:rFonts w:eastAsia="Times New Roman" w:cs="Calibri"/>
                <w:sz w:val="15"/>
                <w:szCs w:val="15"/>
                <w:lang w:eastAsia="es-MX"/>
              </w:rPr>
              <w:t>511,800</w:t>
            </w:r>
          </w:p>
        </w:tc>
      </w:tr>
      <w:tr w:rsidR="00D26792" w:rsidRPr="00D26792" w14:paraId="0276986E"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1685512" w14:textId="77777777" w:rsidR="00CE304A" w:rsidRPr="00CE304A" w:rsidRDefault="00CE304A" w:rsidP="00CE304A">
            <w:pPr>
              <w:spacing w:after="0"/>
              <w:contextualSpacing w:val="0"/>
              <w:rPr>
                <w:rFonts w:eastAsia="Times New Roman" w:cs="Calibri"/>
                <w:sz w:val="21"/>
                <w:szCs w:val="21"/>
                <w:lang w:eastAsia="es-MX"/>
              </w:rPr>
            </w:pPr>
            <w:proofErr w:type="spellStart"/>
            <w:r w:rsidRPr="00CE304A">
              <w:rPr>
                <w:rFonts w:eastAsia="Times New Roman" w:cs="Calibri"/>
                <w:sz w:val="21"/>
                <w:szCs w:val="21"/>
                <w:lang w:eastAsia="es-MX"/>
              </w:rPr>
              <w:t>Montañuelo</w:t>
            </w:r>
            <w:proofErr w:type="spellEnd"/>
            <w:r w:rsidRPr="00CE304A">
              <w:rPr>
                <w:rFonts w:eastAsia="Times New Roman" w:cs="Calibri"/>
                <w:sz w:val="21"/>
                <w:szCs w:val="21"/>
                <w:lang w:eastAsia="es-MX"/>
              </w:rPr>
              <w:t xml:space="preserve"> - Gualanday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949504"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258F7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102,869</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FEDB3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82,295</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2BE1C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61,721</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280AC1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51,434</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56B54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41,148</w:t>
            </w:r>
          </w:p>
        </w:tc>
      </w:tr>
      <w:tr w:rsidR="00946DAC" w:rsidRPr="00D26792" w14:paraId="66661368"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C269D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 Boyacá - Santander</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F630139"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432C75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B153F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35,556</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34B96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71,112</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B882F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88,890</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846D6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106,668</w:t>
            </w:r>
          </w:p>
        </w:tc>
      </w:tr>
      <w:tr w:rsidR="00D26792" w:rsidRPr="00D26792" w14:paraId="28709DF5"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037ACF"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 Boyacá - Santander</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8B44F9"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E1BBF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0,782</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F5568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0,625</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B04C09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0,469</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5E763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0,391</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EA0FE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0,313</w:t>
            </w:r>
          </w:p>
        </w:tc>
      </w:tr>
      <w:tr w:rsidR="00946DAC" w:rsidRPr="00D26792" w14:paraId="7340BD56"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689919"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Cogua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EC6066F"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F1AC8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75DAC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16,534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357668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33,069</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0424B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41,336</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01C07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49,603</w:t>
            </w:r>
          </w:p>
        </w:tc>
      </w:tr>
      <w:tr w:rsidR="00D26792" w:rsidRPr="00D26792" w14:paraId="2493169B"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5AC89F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La Belleza - Cogua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735E782"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9FF15B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0,363</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9F186E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0,290</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D1B2F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0,218</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CCC15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0,181</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23201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0,145</w:t>
            </w:r>
          </w:p>
        </w:tc>
      </w:tr>
      <w:tr w:rsidR="00946DAC" w:rsidRPr="00D26792" w14:paraId="39913E5D"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9D702B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Cusiana - Apiay</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88FE81F"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3C8A53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377BC9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28,926</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38A1BB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57,852</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55D37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72,314</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B9E0E2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86,777</w:t>
            </w:r>
          </w:p>
        </w:tc>
      </w:tr>
      <w:tr w:rsidR="00D26792" w:rsidRPr="00D26792" w14:paraId="17904313"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1253F9"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Cusiana - Apiay</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E2C374C"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522F2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0,473</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E7F57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0,378</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C17BB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0,284</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B454B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0,236</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2257D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0,189</w:t>
            </w:r>
          </w:p>
        </w:tc>
      </w:tr>
      <w:tr w:rsidR="00946DAC" w:rsidRPr="00D26792" w14:paraId="05C654BA"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469E854"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Apiay - Usme</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E028960"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5CFDD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8221E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48,985</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F5A7E3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97,971</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AA08A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122,463</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F1A0F3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146,956</w:t>
            </w:r>
          </w:p>
        </w:tc>
      </w:tr>
      <w:tr w:rsidR="00D26792" w:rsidRPr="00D26792" w14:paraId="100B33EE"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AD095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Apiay - Usme</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4BF0B3"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5DCF4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0,772</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AE6B9B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0,617</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6FFEF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0,463</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95473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0,386</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0DAAC2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0,309</w:t>
            </w:r>
          </w:p>
        </w:tc>
      </w:tr>
      <w:tr w:rsidR="00946DAC" w:rsidRPr="00D26792" w14:paraId="4B60A78E"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D3EA5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Apiay - Villavicencio - </w:t>
            </w:r>
            <w:proofErr w:type="spellStart"/>
            <w:r w:rsidRPr="00CE304A">
              <w:rPr>
                <w:rFonts w:eastAsia="Times New Roman" w:cs="Calibri"/>
                <w:sz w:val="21"/>
                <w:szCs w:val="21"/>
                <w:lang w:eastAsia="es-MX"/>
              </w:rPr>
              <w:t>Ocoa</w:t>
            </w:r>
            <w:proofErr w:type="spellEnd"/>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4D1938D"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16457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72C2E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23,469</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AB593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46,937</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89F874"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58,672</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10D6EC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70,406</w:t>
            </w:r>
          </w:p>
        </w:tc>
      </w:tr>
      <w:tr w:rsidR="00D26792" w:rsidRPr="00D26792" w14:paraId="7A2F9A31"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08E0CE"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Apiay - Villavicencio - </w:t>
            </w:r>
            <w:proofErr w:type="spellStart"/>
            <w:r w:rsidRPr="00CE304A">
              <w:rPr>
                <w:rFonts w:eastAsia="Times New Roman" w:cs="Calibri"/>
                <w:sz w:val="21"/>
                <w:szCs w:val="21"/>
                <w:lang w:eastAsia="es-MX"/>
              </w:rPr>
              <w:t>Ocoa</w:t>
            </w:r>
            <w:proofErr w:type="spellEnd"/>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DA52018"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2CD09B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0,402</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FA98E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0,321</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C7E30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0,241</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5E588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0,201</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7798D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0,161</w:t>
            </w:r>
          </w:p>
        </w:tc>
      </w:tr>
      <w:tr w:rsidR="00946DAC" w:rsidRPr="00D26792" w14:paraId="73956B07"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3B3015"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Morichal - Yopal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CB046D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9B265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1B795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25,790</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10B5B0B"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51,579</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BB09DD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64,474</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A35F8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77,369</w:t>
            </w:r>
          </w:p>
        </w:tc>
      </w:tr>
      <w:tr w:rsidR="00D26792" w:rsidRPr="00D26792" w14:paraId="634C239F"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37DE5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Morichal - Yopal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5952BF"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C84A7E"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0,407</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FDEAD3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0,325</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A746D0"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0,244</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543F6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0,203</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1121D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0,163</w:t>
            </w:r>
          </w:p>
        </w:tc>
      </w:tr>
      <w:tr w:rsidR="00946DAC" w:rsidRPr="00D26792" w14:paraId="0872C7C5"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FF87E4"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Cusiana - El Porvenir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80D1CB5"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A130E5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1AF1F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4,124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C20F1D"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8,248</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BCA98C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10,310</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543B47"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12,371</w:t>
            </w:r>
          </w:p>
        </w:tc>
      </w:tr>
      <w:tr w:rsidR="00D26792" w:rsidRPr="00D26792" w14:paraId="45C2A1C6"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66942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Cusiana - El Porvenir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84E6FDE"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26470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0,091</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7EC36A"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0,073</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91B6903"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0,055</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98781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0,045</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433E8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0,036</w:t>
            </w:r>
          </w:p>
        </w:tc>
      </w:tr>
      <w:tr w:rsidR="00946DAC" w:rsidRPr="00D26792" w14:paraId="003D2B24"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6C515E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Gasoducto de La Sabana </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E52743"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201CF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E041195"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18,664</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D2389DF"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37,327</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6D1CE2"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46,659</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F9E11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55,991</w:t>
            </w:r>
          </w:p>
        </w:tc>
      </w:tr>
      <w:tr w:rsidR="00D26792" w:rsidRPr="00D26792" w14:paraId="3DA68D53"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ACBA40"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xml:space="preserve">Gasoducto de La Sabana </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E720F9B" w14:textId="77777777" w:rsidR="00CE304A" w:rsidRPr="00CE304A" w:rsidRDefault="00CE304A" w:rsidP="00CE304A">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CD73D1"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0,392</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E0EFD9"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0,314</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5DFFEC"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0,235</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D2FBB08"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0,196</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26E186" w14:textId="77777777" w:rsidR="00CE304A" w:rsidRPr="00CE304A" w:rsidRDefault="00CE304A" w:rsidP="00CE304A">
            <w:pPr>
              <w:spacing w:after="0"/>
              <w:contextualSpacing w:val="0"/>
              <w:jc w:val="right"/>
              <w:rPr>
                <w:rFonts w:eastAsia="Times New Roman" w:cs="Calibri"/>
                <w:sz w:val="21"/>
                <w:szCs w:val="21"/>
                <w:lang w:eastAsia="es-MX"/>
              </w:rPr>
            </w:pPr>
            <w:r w:rsidRPr="00CE304A">
              <w:rPr>
                <w:rFonts w:eastAsia="Times New Roman" w:cs="Calibri"/>
                <w:sz w:val="21"/>
                <w:szCs w:val="21"/>
                <w:lang w:eastAsia="es-MX"/>
              </w:rPr>
              <w:t>0,157</w:t>
            </w:r>
          </w:p>
        </w:tc>
      </w:tr>
      <w:tr w:rsidR="0016247E" w:rsidRPr="00D26792" w14:paraId="36941A9F"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988731B" w14:textId="77777777" w:rsidR="0016247E" w:rsidRPr="00CE304A" w:rsidRDefault="0016247E" w:rsidP="0016247E">
            <w:pPr>
              <w:spacing w:after="0"/>
              <w:contextualSpacing w:val="0"/>
              <w:rPr>
                <w:rFonts w:eastAsia="Times New Roman" w:cs="Calibri"/>
                <w:sz w:val="21"/>
                <w:szCs w:val="21"/>
                <w:lang w:eastAsia="es-MX"/>
              </w:rPr>
            </w:pPr>
            <w:r w:rsidRPr="00CE304A">
              <w:rPr>
                <w:rFonts w:eastAsia="Times New Roman" w:cs="Calibri"/>
                <w:sz w:val="21"/>
                <w:szCs w:val="21"/>
                <w:lang w:eastAsia="es-MX"/>
              </w:rPr>
              <w:lastRenderedPageBreak/>
              <w:t>Gasoductos ramales TGI [2]</w:t>
            </w:r>
          </w:p>
        </w:tc>
        <w:tc>
          <w:tcPr>
            <w:tcW w:w="672"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2B4B75D" w14:textId="77777777" w:rsidR="0016247E" w:rsidRPr="00CE304A" w:rsidRDefault="0016247E" w:rsidP="0016247E">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CF</w:t>
            </w:r>
          </w:p>
        </w:tc>
        <w:tc>
          <w:tcPr>
            <w:tcW w:w="722" w:type="pct"/>
            <w:tcBorders>
              <w:top w:val="single" w:sz="4" w:space="0" w:color="A5A5A5"/>
              <w:left w:val="single" w:sz="4" w:space="0" w:color="A5A5A5"/>
              <w:bottom w:val="single" w:sz="4" w:space="0" w:color="A5A5A5"/>
              <w:right w:val="single" w:sz="4" w:space="0" w:color="A5A5A5"/>
            </w:tcBorders>
            <w:shd w:val="clear" w:color="EDEDED" w:fill="F2F2F2"/>
            <w:noWrap/>
          </w:tcPr>
          <w:p w14:paraId="29EB3B7C" w14:textId="589B6CD5"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0,000</w:t>
            </w:r>
          </w:p>
        </w:tc>
        <w:tc>
          <w:tcPr>
            <w:tcW w:w="486" w:type="pct"/>
            <w:tcBorders>
              <w:top w:val="single" w:sz="4" w:space="0" w:color="A5A5A5"/>
              <w:left w:val="single" w:sz="4" w:space="0" w:color="A5A5A5"/>
              <w:bottom w:val="single" w:sz="4" w:space="0" w:color="A5A5A5"/>
              <w:right w:val="single" w:sz="4" w:space="0" w:color="A5A5A5"/>
            </w:tcBorders>
            <w:shd w:val="clear" w:color="EDEDED" w:fill="F2F2F2"/>
            <w:noWrap/>
          </w:tcPr>
          <w:p w14:paraId="4055CF93" w14:textId="5DAAFF6B"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7,975</w:t>
            </w:r>
          </w:p>
        </w:tc>
        <w:tc>
          <w:tcPr>
            <w:tcW w:w="523" w:type="pct"/>
            <w:tcBorders>
              <w:top w:val="single" w:sz="4" w:space="0" w:color="A5A5A5"/>
              <w:left w:val="single" w:sz="4" w:space="0" w:color="A5A5A5"/>
              <w:bottom w:val="single" w:sz="4" w:space="0" w:color="A5A5A5"/>
              <w:right w:val="single" w:sz="4" w:space="0" w:color="A5A5A5"/>
            </w:tcBorders>
            <w:shd w:val="clear" w:color="EDEDED" w:fill="F2F2F2"/>
            <w:noWrap/>
          </w:tcPr>
          <w:p w14:paraId="370917D7" w14:textId="04159620"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15,951</w:t>
            </w:r>
          </w:p>
        </w:tc>
        <w:tc>
          <w:tcPr>
            <w:tcW w:w="584" w:type="pct"/>
            <w:tcBorders>
              <w:top w:val="single" w:sz="4" w:space="0" w:color="A5A5A5"/>
              <w:left w:val="single" w:sz="4" w:space="0" w:color="A5A5A5"/>
              <w:bottom w:val="single" w:sz="4" w:space="0" w:color="A5A5A5"/>
              <w:right w:val="single" w:sz="4" w:space="0" w:color="A5A5A5"/>
            </w:tcBorders>
            <w:shd w:val="clear" w:color="EDEDED" w:fill="F2F2F2"/>
            <w:noWrap/>
          </w:tcPr>
          <w:p w14:paraId="72E459FC" w14:textId="4B2CEC77"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19,939</w:t>
            </w:r>
          </w:p>
        </w:tc>
        <w:tc>
          <w:tcPr>
            <w:tcW w:w="667" w:type="pct"/>
            <w:tcBorders>
              <w:top w:val="single" w:sz="4" w:space="0" w:color="A5A5A5"/>
              <w:left w:val="single" w:sz="4" w:space="0" w:color="A5A5A5"/>
              <w:bottom w:val="single" w:sz="4" w:space="0" w:color="A5A5A5"/>
              <w:right w:val="single" w:sz="4" w:space="0" w:color="A5A5A5"/>
            </w:tcBorders>
            <w:shd w:val="clear" w:color="EDEDED" w:fill="F2F2F2"/>
            <w:noWrap/>
          </w:tcPr>
          <w:p w14:paraId="3D5D124E" w14:textId="15787CD5"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23,926</w:t>
            </w:r>
          </w:p>
        </w:tc>
      </w:tr>
      <w:tr w:rsidR="0016247E" w:rsidRPr="00D26792" w14:paraId="2A5F09E5" w14:textId="77777777" w:rsidTr="0016247E">
        <w:trPr>
          <w:trHeight w:val="320"/>
        </w:trPr>
        <w:tc>
          <w:tcPr>
            <w:tcW w:w="134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ACE08E5" w14:textId="77777777" w:rsidR="0016247E" w:rsidRPr="00CE304A" w:rsidRDefault="0016247E" w:rsidP="0016247E">
            <w:pPr>
              <w:spacing w:after="0"/>
              <w:contextualSpacing w:val="0"/>
              <w:rPr>
                <w:rFonts w:eastAsia="Times New Roman" w:cs="Calibri"/>
                <w:sz w:val="21"/>
                <w:szCs w:val="21"/>
                <w:lang w:eastAsia="es-MX"/>
              </w:rPr>
            </w:pPr>
            <w:r w:rsidRPr="00CE304A">
              <w:rPr>
                <w:rFonts w:eastAsia="Times New Roman" w:cs="Calibri"/>
                <w:sz w:val="21"/>
                <w:szCs w:val="21"/>
                <w:lang w:eastAsia="es-MX"/>
              </w:rPr>
              <w:t>Gasoductos ramales TGI [2]</w:t>
            </w:r>
          </w:p>
        </w:tc>
        <w:tc>
          <w:tcPr>
            <w:tcW w:w="67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382FCD" w14:textId="77777777" w:rsidR="0016247E" w:rsidRPr="00CE304A" w:rsidRDefault="0016247E" w:rsidP="0016247E">
            <w:pPr>
              <w:spacing w:after="0"/>
              <w:contextualSpacing w:val="0"/>
              <w:jc w:val="center"/>
              <w:rPr>
                <w:rFonts w:eastAsia="Times New Roman" w:cs="Calibri"/>
                <w:sz w:val="21"/>
                <w:szCs w:val="21"/>
                <w:lang w:eastAsia="es-MX"/>
              </w:rPr>
            </w:pPr>
            <w:r w:rsidRPr="00CE304A">
              <w:rPr>
                <w:rFonts w:eastAsia="Times New Roman" w:cs="Calibri"/>
                <w:sz w:val="21"/>
                <w:szCs w:val="21"/>
                <w:lang w:eastAsia="es-MX"/>
              </w:rPr>
              <w:t>CV</w:t>
            </w:r>
          </w:p>
        </w:tc>
        <w:tc>
          <w:tcPr>
            <w:tcW w:w="722" w:type="pct"/>
            <w:tcBorders>
              <w:top w:val="single" w:sz="4" w:space="0" w:color="A5A5A5"/>
              <w:left w:val="single" w:sz="4" w:space="0" w:color="A5A5A5"/>
              <w:bottom w:val="single" w:sz="4" w:space="0" w:color="A5A5A5"/>
              <w:right w:val="single" w:sz="4" w:space="0" w:color="A5A5A5"/>
            </w:tcBorders>
            <w:shd w:val="clear" w:color="auto" w:fill="auto"/>
            <w:noWrap/>
          </w:tcPr>
          <w:p w14:paraId="6F8EB9FD" w14:textId="4A59A48F"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0,182</w:t>
            </w:r>
          </w:p>
        </w:tc>
        <w:tc>
          <w:tcPr>
            <w:tcW w:w="486" w:type="pct"/>
            <w:tcBorders>
              <w:top w:val="single" w:sz="4" w:space="0" w:color="A5A5A5"/>
              <w:left w:val="single" w:sz="4" w:space="0" w:color="A5A5A5"/>
              <w:bottom w:val="single" w:sz="4" w:space="0" w:color="A5A5A5"/>
              <w:right w:val="single" w:sz="4" w:space="0" w:color="A5A5A5"/>
            </w:tcBorders>
            <w:shd w:val="clear" w:color="auto" w:fill="auto"/>
            <w:noWrap/>
          </w:tcPr>
          <w:p w14:paraId="51821C1D" w14:textId="6C0AF017"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0,146</w:t>
            </w:r>
          </w:p>
        </w:tc>
        <w:tc>
          <w:tcPr>
            <w:tcW w:w="523" w:type="pct"/>
            <w:tcBorders>
              <w:top w:val="single" w:sz="4" w:space="0" w:color="A5A5A5"/>
              <w:left w:val="single" w:sz="4" w:space="0" w:color="A5A5A5"/>
              <w:bottom w:val="single" w:sz="4" w:space="0" w:color="A5A5A5"/>
              <w:right w:val="single" w:sz="4" w:space="0" w:color="A5A5A5"/>
            </w:tcBorders>
            <w:shd w:val="clear" w:color="auto" w:fill="auto"/>
            <w:noWrap/>
          </w:tcPr>
          <w:p w14:paraId="077D7275" w14:textId="7AA9A301"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0,109</w:t>
            </w:r>
          </w:p>
        </w:tc>
        <w:tc>
          <w:tcPr>
            <w:tcW w:w="584" w:type="pct"/>
            <w:tcBorders>
              <w:top w:val="single" w:sz="4" w:space="0" w:color="A5A5A5"/>
              <w:left w:val="single" w:sz="4" w:space="0" w:color="A5A5A5"/>
              <w:bottom w:val="single" w:sz="4" w:space="0" w:color="A5A5A5"/>
              <w:right w:val="single" w:sz="4" w:space="0" w:color="A5A5A5"/>
            </w:tcBorders>
            <w:shd w:val="clear" w:color="auto" w:fill="auto"/>
            <w:noWrap/>
          </w:tcPr>
          <w:p w14:paraId="729CB7E2" w14:textId="58DF58EB"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0,091</w:t>
            </w:r>
          </w:p>
        </w:tc>
        <w:tc>
          <w:tcPr>
            <w:tcW w:w="667" w:type="pct"/>
            <w:tcBorders>
              <w:top w:val="single" w:sz="4" w:space="0" w:color="A5A5A5"/>
              <w:left w:val="single" w:sz="4" w:space="0" w:color="A5A5A5"/>
              <w:bottom w:val="single" w:sz="4" w:space="0" w:color="A5A5A5"/>
              <w:right w:val="single" w:sz="4" w:space="0" w:color="A5A5A5"/>
            </w:tcBorders>
            <w:shd w:val="clear" w:color="auto" w:fill="auto"/>
            <w:noWrap/>
          </w:tcPr>
          <w:p w14:paraId="014760F3" w14:textId="0B631D72" w:rsidR="0016247E" w:rsidRPr="001A3546" w:rsidRDefault="0016247E" w:rsidP="0016247E">
            <w:pPr>
              <w:spacing w:after="0"/>
              <w:contextualSpacing w:val="0"/>
              <w:jc w:val="right"/>
              <w:rPr>
                <w:rFonts w:eastAsia="Times New Roman" w:cs="Calibri"/>
                <w:sz w:val="22"/>
                <w:szCs w:val="20"/>
                <w:lang w:eastAsia="es-MX"/>
              </w:rPr>
            </w:pPr>
            <w:r w:rsidRPr="001A3546">
              <w:rPr>
                <w:sz w:val="22"/>
                <w:szCs w:val="20"/>
              </w:rPr>
              <w:t>0,073</w:t>
            </w:r>
          </w:p>
        </w:tc>
      </w:tr>
      <w:tr w:rsidR="00D26792" w:rsidRPr="00D26792" w14:paraId="1C4F5433"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1B0B51D7"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 xml:space="preserve">C.F. = Cargo fijo expresado en US $ de diciembre 31 de 2009 por </w:t>
            </w:r>
            <w:proofErr w:type="spellStart"/>
            <w:r w:rsidRPr="00CE304A">
              <w:rPr>
                <w:rFonts w:eastAsia="Times New Roman" w:cs="Calibri"/>
                <w:sz w:val="21"/>
                <w:szCs w:val="21"/>
                <w:lang w:eastAsia="es-CO"/>
              </w:rPr>
              <w:t>kpcd</w:t>
            </w:r>
            <w:proofErr w:type="spellEnd"/>
            <w:r w:rsidRPr="00CE304A">
              <w:rPr>
                <w:rFonts w:eastAsia="Times New Roman" w:cs="Calibri"/>
                <w:sz w:val="21"/>
                <w:szCs w:val="21"/>
                <w:lang w:eastAsia="es-CO"/>
              </w:rPr>
              <w:t xml:space="preserve">-año. </w:t>
            </w:r>
          </w:p>
        </w:tc>
      </w:tr>
      <w:tr w:rsidR="00D26792" w:rsidRPr="00D26792" w14:paraId="3FDA0AB5" w14:textId="77777777" w:rsidTr="0016247E">
        <w:trPr>
          <w:trHeight w:val="300"/>
        </w:trPr>
        <w:tc>
          <w:tcPr>
            <w:tcW w:w="2740" w:type="pct"/>
            <w:gridSpan w:val="3"/>
            <w:tcBorders>
              <w:top w:val="nil"/>
              <w:left w:val="nil"/>
              <w:bottom w:val="nil"/>
              <w:right w:val="nil"/>
            </w:tcBorders>
            <w:shd w:val="clear" w:color="000000" w:fill="FFFFFF"/>
            <w:noWrap/>
            <w:vAlign w:val="center"/>
            <w:hideMark/>
          </w:tcPr>
          <w:p w14:paraId="2A5DF55E"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 xml:space="preserve">C.V. = Cargo variable expresado en US $ de diciembre 31 de 2009 por </w:t>
            </w:r>
            <w:proofErr w:type="spellStart"/>
            <w:r w:rsidRPr="00CE304A">
              <w:rPr>
                <w:rFonts w:eastAsia="Times New Roman" w:cs="Calibri"/>
                <w:sz w:val="21"/>
                <w:szCs w:val="21"/>
                <w:lang w:eastAsia="es-CO"/>
              </w:rPr>
              <w:t>kpc</w:t>
            </w:r>
            <w:proofErr w:type="spellEnd"/>
            <w:r w:rsidRPr="00CE304A">
              <w:rPr>
                <w:rFonts w:eastAsia="Times New Roman" w:cs="Calibri"/>
                <w:sz w:val="21"/>
                <w:szCs w:val="21"/>
                <w:lang w:eastAsia="es-CO"/>
              </w:rPr>
              <w:t xml:space="preserve">. </w:t>
            </w:r>
          </w:p>
        </w:tc>
        <w:tc>
          <w:tcPr>
            <w:tcW w:w="486" w:type="pct"/>
            <w:tcBorders>
              <w:top w:val="nil"/>
              <w:left w:val="nil"/>
              <w:bottom w:val="nil"/>
              <w:right w:val="nil"/>
            </w:tcBorders>
            <w:shd w:val="clear" w:color="000000" w:fill="FFFFFF"/>
            <w:noWrap/>
            <w:vAlign w:val="center"/>
            <w:hideMark/>
          </w:tcPr>
          <w:p w14:paraId="719AE841"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c>
          <w:tcPr>
            <w:tcW w:w="523" w:type="pct"/>
            <w:tcBorders>
              <w:top w:val="nil"/>
              <w:left w:val="nil"/>
              <w:bottom w:val="nil"/>
              <w:right w:val="nil"/>
            </w:tcBorders>
            <w:shd w:val="clear" w:color="000000" w:fill="FFFFFF"/>
            <w:noWrap/>
            <w:vAlign w:val="center"/>
            <w:hideMark/>
          </w:tcPr>
          <w:p w14:paraId="5ECD0AA6"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c>
          <w:tcPr>
            <w:tcW w:w="584" w:type="pct"/>
            <w:tcBorders>
              <w:top w:val="nil"/>
              <w:left w:val="nil"/>
              <w:bottom w:val="nil"/>
              <w:right w:val="nil"/>
            </w:tcBorders>
            <w:shd w:val="clear" w:color="000000" w:fill="FFFFFF"/>
            <w:noWrap/>
            <w:vAlign w:val="center"/>
            <w:hideMark/>
          </w:tcPr>
          <w:p w14:paraId="7B1E5C4A"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c>
          <w:tcPr>
            <w:tcW w:w="667" w:type="pct"/>
            <w:tcBorders>
              <w:top w:val="nil"/>
              <w:left w:val="nil"/>
              <w:bottom w:val="nil"/>
              <w:right w:val="nil"/>
            </w:tcBorders>
            <w:shd w:val="clear" w:color="000000" w:fill="FFFFFF"/>
            <w:noWrap/>
            <w:vAlign w:val="center"/>
            <w:hideMark/>
          </w:tcPr>
          <w:p w14:paraId="56C788D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MX"/>
              </w:rPr>
              <w:t> </w:t>
            </w:r>
          </w:p>
        </w:tc>
      </w:tr>
      <w:tr w:rsidR="00D26792" w:rsidRPr="00D26792" w14:paraId="77921AA4"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2AD990BB"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[1] Porcentaje de la inversión remunerada con cargo fijo.</w:t>
            </w:r>
          </w:p>
        </w:tc>
      </w:tr>
      <w:tr w:rsidR="00D26792" w:rsidRPr="00D26792" w14:paraId="2E0A982B"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3B14F512"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[2] Incluye ramales Sur de Bolívar.</w:t>
            </w:r>
          </w:p>
        </w:tc>
      </w:tr>
      <w:tr w:rsidR="00D26792" w:rsidRPr="00D26792" w14:paraId="2E78BB4A" w14:textId="77777777" w:rsidTr="00D26792">
        <w:trPr>
          <w:trHeight w:val="300"/>
        </w:trPr>
        <w:tc>
          <w:tcPr>
            <w:tcW w:w="5000" w:type="pct"/>
            <w:gridSpan w:val="7"/>
            <w:tcBorders>
              <w:top w:val="nil"/>
              <w:left w:val="nil"/>
              <w:bottom w:val="nil"/>
              <w:right w:val="nil"/>
            </w:tcBorders>
            <w:shd w:val="clear" w:color="000000" w:fill="FFFFFF"/>
            <w:noWrap/>
            <w:vAlign w:val="center"/>
            <w:hideMark/>
          </w:tcPr>
          <w:p w14:paraId="677C8149" w14:textId="77777777" w:rsidR="00CE304A" w:rsidRPr="00CE304A" w:rsidRDefault="00CE304A" w:rsidP="00CE304A">
            <w:pPr>
              <w:spacing w:after="0"/>
              <w:contextualSpacing w:val="0"/>
              <w:rPr>
                <w:rFonts w:eastAsia="Times New Roman" w:cs="Calibri"/>
                <w:sz w:val="21"/>
                <w:szCs w:val="21"/>
                <w:lang w:eastAsia="es-MX"/>
              </w:rPr>
            </w:pPr>
            <w:r w:rsidRPr="00CE304A">
              <w:rPr>
                <w:rFonts w:eastAsia="Times New Roman" w:cs="Calibri"/>
                <w:sz w:val="21"/>
                <w:szCs w:val="21"/>
                <w:lang w:eastAsia="es-CO"/>
              </w:rPr>
              <w:t>Nota:   Para la interpretación de esta Resolución las cifras decimales se separan con coma y las cifras de miles se separan con punto.</w:t>
            </w:r>
          </w:p>
        </w:tc>
      </w:tr>
    </w:tbl>
    <w:p w14:paraId="4B176AB8" w14:textId="77777777" w:rsidR="00DB6186" w:rsidRDefault="00DB6186" w:rsidP="00E015AF">
      <w:pPr>
        <w:ind w:left="284"/>
        <w:rPr>
          <w:sz w:val="22"/>
          <w:highlight w:val="yellow"/>
        </w:rPr>
      </w:pPr>
    </w:p>
    <w:tbl>
      <w:tblPr>
        <w:tblW w:w="5000" w:type="pct"/>
        <w:tblCellMar>
          <w:left w:w="70" w:type="dxa"/>
          <w:right w:w="70" w:type="dxa"/>
        </w:tblCellMar>
        <w:tblLook w:val="04A0" w:firstRow="1" w:lastRow="0" w:firstColumn="1" w:lastColumn="0" w:noHBand="0" w:noVBand="1"/>
      </w:tblPr>
      <w:tblGrid>
        <w:gridCol w:w="2445"/>
        <w:gridCol w:w="1242"/>
        <w:gridCol w:w="1060"/>
        <w:gridCol w:w="1057"/>
        <w:gridCol w:w="1150"/>
        <w:gridCol w:w="1098"/>
        <w:gridCol w:w="1150"/>
        <w:gridCol w:w="144"/>
      </w:tblGrid>
      <w:tr w:rsidR="00264662" w:rsidRPr="004D785D" w14:paraId="2C4E34AF" w14:textId="77777777" w:rsidTr="0016247E">
        <w:trPr>
          <w:gridAfter w:val="1"/>
          <w:wAfter w:w="77" w:type="pct"/>
          <w:trHeight w:val="300"/>
          <w:tblHeader/>
        </w:trPr>
        <w:tc>
          <w:tcPr>
            <w:tcW w:w="133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49371693" w14:textId="5E9FF8AB"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 xml:space="preserve">% </w:t>
            </w:r>
            <w:r w:rsidR="009F09CF" w:rsidRPr="004D785D">
              <w:rPr>
                <w:rFonts w:eastAsia="Times New Roman" w:cs="Calibri"/>
                <w:b/>
                <w:bCs/>
                <w:sz w:val="21"/>
                <w:szCs w:val="21"/>
                <w:lang w:eastAsia="es-MX"/>
              </w:rPr>
              <w:t>Fijo [</w:t>
            </w:r>
            <w:r w:rsidRPr="004D785D">
              <w:rPr>
                <w:rFonts w:eastAsia="Times New Roman" w:cs="Calibri"/>
                <w:b/>
                <w:bCs/>
                <w:sz w:val="21"/>
                <w:szCs w:val="21"/>
                <w:lang w:eastAsia="es-MX"/>
              </w:rPr>
              <w:t>1]</w:t>
            </w:r>
          </w:p>
        </w:tc>
        <w:tc>
          <w:tcPr>
            <w:tcW w:w="663"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6169EE86"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TIPO</w:t>
            </w:r>
          </w:p>
        </w:tc>
        <w:tc>
          <w:tcPr>
            <w:tcW w:w="56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37F084D0"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70%</w:t>
            </w:r>
          </w:p>
        </w:tc>
        <w:tc>
          <w:tcPr>
            <w:tcW w:w="560"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123FC40"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80%</w:t>
            </w:r>
          </w:p>
        </w:tc>
        <w:tc>
          <w:tcPr>
            <w:tcW w:w="61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7C90F12C"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85%</w:t>
            </w:r>
          </w:p>
        </w:tc>
        <w:tc>
          <w:tcPr>
            <w:tcW w:w="583"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F812197"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90%</w:t>
            </w:r>
          </w:p>
        </w:tc>
        <w:tc>
          <w:tcPr>
            <w:tcW w:w="612"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77F27A64" w14:textId="77777777" w:rsidR="004D785D" w:rsidRPr="004D785D" w:rsidRDefault="004D785D" w:rsidP="004D785D">
            <w:pPr>
              <w:spacing w:after="0"/>
              <w:contextualSpacing w:val="0"/>
              <w:jc w:val="center"/>
              <w:rPr>
                <w:rFonts w:eastAsia="Times New Roman" w:cs="Calibri"/>
                <w:b/>
                <w:bCs/>
                <w:sz w:val="21"/>
                <w:szCs w:val="21"/>
                <w:lang w:eastAsia="es-MX"/>
              </w:rPr>
            </w:pPr>
            <w:r w:rsidRPr="004D785D">
              <w:rPr>
                <w:rFonts w:eastAsia="Times New Roman" w:cs="Calibri"/>
                <w:b/>
                <w:bCs/>
                <w:sz w:val="21"/>
                <w:szCs w:val="21"/>
                <w:lang w:eastAsia="es-MX"/>
              </w:rPr>
              <w:t>92%</w:t>
            </w:r>
          </w:p>
        </w:tc>
      </w:tr>
      <w:tr w:rsidR="005566A8" w:rsidRPr="004D785D" w14:paraId="63C291A0"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F47D5D8" w14:textId="77777777" w:rsidR="005566A8" w:rsidRPr="004D785D" w:rsidRDefault="005566A8" w:rsidP="005566A8">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Ballena - Barrancabermeja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1E3A91F" w14:textId="77777777" w:rsidR="005566A8" w:rsidRPr="004D785D" w:rsidRDefault="005566A8" w:rsidP="005566A8">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65DBC215" w14:textId="3FA8B340" w:rsidR="005566A8" w:rsidRPr="005566A8" w:rsidRDefault="005566A8" w:rsidP="005566A8">
            <w:pPr>
              <w:spacing w:after="0"/>
              <w:contextualSpacing w:val="0"/>
              <w:jc w:val="center"/>
              <w:rPr>
                <w:rFonts w:eastAsia="Times New Roman" w:cs="Calibri"/>
                <w:sz w:val="21"/>
                <w:szCs w:val="20"/>
                <w:lang w:eastAsia="es-MX"/>
              </w:rPr>
            </w:pPr>
            <w:r w:rsidRPr="005566A8">
              <w:rPr>
                <w:rFonts w:cs="Calibri"/>
                <w:sz w:val="21"/>
                <w:szCs w:val="20"/>
              </w:rPr>
              <w:t>170,514</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3AB185D5" w14:textId="45F17A43"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194,873</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47680CED" w14:textId="5BEC3847"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207,052</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7DC4C40C" w14:textId="1037D0C4"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219,232</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tcPr>
          <w:p w14:paraId="00A20C68" w14:textId="4850A1EE"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224,104</w:t>
            </w:r>
          </w:p>
        </w:tc>
      </w:tr>
      <w:tr w:rsidR="005566A8" w:rsidRPr="004D785D" w14:paraId="6770756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A598889" w14:textId="77777777" w:rsidR="005566A8" w:rsidRPr="004D785D" w:rsidRDefault="005566A8" w:rsidP="005566A8">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Ballena - Barrancabermeja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7D7B3CF" w14:textId="77777777" w:rsidR="005566A8" w:rsidRPr="004D785D" w:rsidRDefault="005566A8" w:rsidP="005566A8">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4919BCFA" w14:textId="5861002D"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0,367</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7B73A62C" w14:textId="1C509A96"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0,245</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1EBAE0A5" w14:textId="5B4736F8"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0,183</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0248DAC2" w14:textId="5614B710"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0,122</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tcPr>
          <w:p w14:paraId="3FFCFC86" w14:textId="73BFBB06" w:rsidR="005566A8" w:rsidRPr="005566A8" w:rsidRDefault="005566A8" w:rsidP="005566A8">
            <w:pPr>
              <w:spacing w:after="0"/>
              <w:contextualSpacing w:val="0"/>
              <w:jc w:val="right"/>
              <w:rPr>
                <w:rFonts w:eastAsia="Times New Roman" w:cs="Calibri"/>
                <w:sz w:val="21"/>
                <w:szCs w:val="20"/>
                <w:lang w:eastAsia="es-MX"/>
              </w:rPr>
            </w:pPr>
            <w:r w:rsidRPr="005566A8">
              <w:rPr>
                <w:rFonts w:cs="Calibri"/>
                <w:sz w:val="21"/>
                <w:szCs w:val="20"/>
              </w:rPr>
              <w:t>0,098</w:t>
            </w:r>
          </w:p>
        </w:tc>
      </w:tr>
      <w:tr w:rsidR="00264662" w:rsidRPr="004D785D" w14:paraId="21845F49"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055B1C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Barrancabermeja - Sebastopol</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292480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0E236D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76,114</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15ED17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86,987</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D958EC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92,424</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93410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97,860</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531C5F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100,035</w:t>
            </w:r>
          </w:p>
        </w:tc>
      </w:tr>
      <w:tr w:rsidR="00264662" w:rsidRPr="004D785D" w14:paraId="3CC0A265"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484317"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Barrancabermeja - Sebastopol</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42C5C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AB8B2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0,237</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906927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C2EA32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0,118</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35A53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0,079</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90F587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0,063</w:t>
            </w:r>
          </w:p>
        </w:tc>
      </w:tr>
      <w:tr w:rsidR="00264662" w:rsidRPr="004D785D" w14:paraId="35971C2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522D123"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Sebastopol - Vasconia</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3BDFA63"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A3B9D8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31,201</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C171DA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35,658</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D9992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37,886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D59FA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40,115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5A706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41,006</w:t>
            </w:r>
          </w:p>
        </w:tc>
      </w:tr>
      <w:tr w:rsidR="00264662" w:rsidRPr="004D785D" w14:paraId="4489E91A"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120AE76"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Sebastopol - Vasconia</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DD19C9D"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72124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0,131</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33C13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0,087</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879D1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0,065</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A253D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0,044</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77732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0,035</w:t>
            </w:r>
          </w:p>
        </w:tc>
      </w:tr>
      <w:tr w:rsidR="00264662" w:rsidRPr="004D785D" w14:paraId="6BD71D07"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9C051EC" w14:textId="1BED3AE1"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Vasconia </w:t>
            </w:r>
            <w:r w:rsidR="009F09CF" w:rsidRPr="004D785D">
              <w:rPr>
                <w:rFonts w:eastAsia="Times New Roman" w:cs="Calibri"/>
                <w:sz w:val="21"/>
                <w:szCs w:val="21"/>
                <w:lang w:eastAsia="es-MX"/>
              </w:rPr>
              <w:t>- Mariquita</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213D5E0"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E00D80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74,360</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6D573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84,983</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AB7D9C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90,294</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A2AB0C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95,606</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CCF4C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97,730</w:t>
            </w:r>
          </w:p>
        </w:tc>
      </w:tr>
      <w:tr w:rsidR="00264662" w:rsidRPr="004D785D" w14:paraId="3CD7A432"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819239" w14:textId="3608173B"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Vasconia </w:t>
            </w:r>
            <w:r w:rsidR="009F09CF" w:rsidRPr="004D785D">
              <w:rPr>
                <w:rFonts w:eastAsia="Times New Roman" w:cs="Calibri"/>
                <w:sz w:val="21"/>
                <w:szCs w:val="21"/>
                <w:lang w:eastAsia="es-MX"/>
              </w:rPr>
              <w:t>- Mariquita</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D3782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B4B1F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0,154</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91CA6C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0,103</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37DE4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0,077</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57A93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0,051</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30408F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0,041</w:t>
            </w:r>
          </w:p>
        </w:tc>
      </w:tr>
      <w:tr w:rsidR="00264662" w:rsidRPr="004D785D" w14:paraId="6D617E2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C2F72B"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Vasconia - La Belleza</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D9100C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ED7385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84,753</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19A4DD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96,860</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7A8BC8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102,914</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541EF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108,968</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935BB5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111,389</w:t>
            </w:r>
          </w:p>
        </w:tc>
      </w:tr>
      <w:tr w:rsidR="00264662" w:rsidRPr="004D785D" w14:paraId="7A508740"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03288AC"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Vasconia - La Belleza</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B1FFE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0B4384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0,174</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E1094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0,116</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02E269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0,087</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58B260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63DC23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0,046</w:t>
            </w:r>
          </w:p>
        </w:tc>
      </w:tr>
      <w:tr w:rsidR="00264662" w:rsidRPr="004D785D" w14:paraId="5184935C"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E61A93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El Porvenir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3A4C241"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BCD80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159,076</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B983E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181,801</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5050CB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193,163</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DC5378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204,526</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F0E4C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209,071</w:t>
            </w:r>
          </w:p>
        </w:tc>
      </w:tr>
      <w:tr w:rsidR="00264662" w:rsidRPr="004D785D" w14:paraId="463D589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1602B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El Porvenir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722B12"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EB4B8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0,305</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BD226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0,203</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ADEAC2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0,152</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B7E437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0,102</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5EFA94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0,081</w:t>
            </w:r>
          </w:p>
        </w:tc>
      </w:tr>
      <w:tr w:rsidR="00264662" w:rsidRPr="004D785D" w14:paraId="7EC7ABB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A7D60BE"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Pereira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6F52D77"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DE234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95,037</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FBDD6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108,613</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36A131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115,401</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6A015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122,190</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8C23DB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124,905</w:t>
            </w:r>
          </w:p>
        </w:tc>
      </w:tr>
      <w:tr w:rsidR="00264662" w:rsidRPr="004D785D" w14:paraId="745A4F28"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146C5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Pereira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8C469B"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77D605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0,214</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FE657C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0,143</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C33E0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0,107</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72F2B0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0,071</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932E0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0,057</w:t>
            </w:r>
          </w:p>
        </w:tc>
      </w:tr>
      <w:tr w:rsidR="00264662" w:rsidRPr="004D785D" w14:paraId="044097AE"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9BB8B4"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Pereira - Armenia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C099EF1"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8235D5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33,397</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FBFB72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38,168</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8E14A7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40,553</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5F3DE5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42,939</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7A5F1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43,893</w:t>
            </w:r>
          </w:p>
        </w:tc>
      </w:tr>
      <w:tr w:rsidR="00264662" w:rsidRPr="004D785D" w14:paraId="79AF5C89"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07A6DB"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Pereira - Armenia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99905A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E7BFA8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0,080</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46820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0,053</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F72BD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0,040</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159ED7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0,027</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F89D1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0,021</w:t>
            </w:r>
          </w:p>
        </w:tc>
      </w:tr>
      <w:tr w:rsidR="00264662" w:rsidRPr="004D785D" w14:paraId="6523810E"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7DE429"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Armenia - Cali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3A6E46B"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495A97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76,760</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C926CA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87,725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60292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93,208</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16894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98,691</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9CCA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100,884</w:t>
            </w:r>
          </w:p>
        </w:tc>
      </w:tr>
      <w:tr w:rsidR="00264662" w:rsidRPr="004D785D" w14:paraId="3BC37A8C"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E1AE4AF"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Armenia - Cali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C3C4F3"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9675AA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0,192</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D0E3B6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09736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0,096</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9CE48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0,064</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4F6D12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0,051</w:t>
            </w:r>
          </w:p>
        </w:tc>
      </w:tr>
      <w:tr w:rsidR="00264662" w:rsidRPr="004D785D" w14:paraId="619A3D3E"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541268C"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Gualanday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F70B2F5"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18E42A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261,195</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9F34B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298,509</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B53D1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317,166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F5B6E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335,822</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76BF6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343,285</w:t>
            </w:r>
          </w:p>
        </w:tc>
      </w:tr>
      <w:tr w:rsidR="00264662" w:rsidRPr="004D785D" w14:paraId="0026BCCF"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2C5766"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Mariquita - Gualanday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121E921"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F9613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0,375</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14619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0,250</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F09E1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0,188</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ECE59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0,125</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2FBB0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0,100</w:t>
            </w:r>
          </w:p>
        </w:tc>
      </w:tr>
      <w:tr w:rsidR="00264662" w:rsidRPr="004D785D" w14:paraId="5ED221A6"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260CB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Gualanday - Neiva</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3C1C4AE"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A3426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930,000</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36E7D8" w14:textId="19451EE4" w:rsidR="004D785D" w:rsidRPr="004D785D" w:rsidRDefault="004D785D" w:rsidP="004D785D">
            <w:pPr>
              <w:spacing w:after="0"/>
              <w:contextualSpacing w:val="0"/>
              <w:jc w:val="right"/>
              <w:rPr>
                <w:rFonts w:eastAsia="Times New Roman" w:cs="Calibri"/>
                <w:sz w:val="21"/>
                <w:szCs w:val="21"/>
                <w:lang w:eastAsia="es-MX"/>
              </w:rPr>
            </w:pPr>
            <w:r w:rsidRPr="00331CB2">
              <w:rPr>
                <w:rFonts w:eastAsia="Times New Roman" w:cs="Calibri"/>
                <w:sz w:val="18"/>
                <w:szCs w:val="18"/>
                <w:lang w:eastAsia="es-MX"/>
              </w:rPr>
              <w:t>1</w:t>
            </w:r>
            <w:r w:rsidR="000D2F1D">
              <w:rPr>
                <w:rFonts w:eastAsia="Times New Roman" w:cs="Calibri"/>
                <w:sz w:val="18"/>
                <w:szCs w:val="18"/>
                <w:lang w:eastAsia="es-MX"/>
              </w:rPr>
              <w:t>.</w:t>
            </w:r>
            <w:r w:rsidRPr="00331CB2">
              <w:rPr>
                <w:rFonts w:eastAsia="Times New Roman" w:cs="Calibri"/>
                <w:sz w:val="18"/>
                <w:szCs w:val="18"/>
                <w:lang w:eastAsia="es-MX"/>
              </w:rPr>
              <w:t>062,857</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2692A80" w14:textId="0BBED817" w:rsidR="004D785D" w:rsidRPr="000D2F1D" w:rsidRDefault="004D785D" w:rsidP="004D785D">
            <w:pPr>
              <w:spacing w:after="0"/>
              <w:contextualSpacing w:val="0"/>
              <w:jc w:val="right"/>
              <w:rPr>
                <w:rFonts w:eastAsia="Times New Roman" w:cs="Calibri"/>
                <w:sz w:val="18"/>
                <w:szCs w:val="18"/>
                <w:lang w:eastAsia="es-MX"/>
              </w:rPr>
            </w:pPr>
            <w:r w:rsidRPr="000D2F1D">
              <w:rPr>
                <w:rFonts w:eastAsia="Times New Roman" w:cs="Calibri"/>
                <w:sz w:val="18"/>
                <w:szCs w:val="18"/>
                <w:lang w:eastAsia="es-MX"/>
              </w:rPr>
              <w:t>1</w:t>
            </w:r>
            <w:r w:rsidR="000D2F1D" w:rsidRPr="000D2F1D">
              <w:rPr>
                <w:rFonts w:eastAsia="Times New Roman" w:cs="Calibri"/>
                <w:sz w:val="18"/>
                <w:szCs w:val="18"/>
                <w:lang w:eastAsia="es-MX"/>
              </w:rPr>
              <w:t>.</w:t>
            </w:r>
            <w:r w:rsidRPr="000D2F1D">
              <w:rPr>
                <w:rFonts w:eastAsia="Times New Roman" w:cs="Calibri"/>
                <w:sz w:val="18"/>
                <w:szCs w:val="18"/>
                <w:lang w:eastAsia="es-MX"/>
              </w:rPr>
              <w:t>129,286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7905307" w14:textId="337493DE" w:rsidR="004D785D" w:rsidRPr="000D2F1D" w:rsidRDefault="004D785D" w:rsidP="004D785D">
            <w:pPr>
              <w:spacing w:after="0"/>
              <w:contextualSpacing w:val="0"/>
              <w:jc w:val="right"/>
              <w:rPr>
                <w:rFonts w:eastAsia="Times New Roman" w:cs="Calibri"/>
                <w:sz w:val="18"/>
                <w:szCs w:val="18"/>
                <w:lang w:eastAsia="es-MX"/>
              </w:rPr>
            </w:pPr>
            <w:r w:rsidRPr="000D2F1D">
              <w:rPr>
                <w:rFonts w:eastAsia="Times New Roman" w:cs="Calibri"/>
                <w:sz w:val="18"/>
                <w:szCs w:val="18"/>
                <w:lang w:eastAsia="es-MX"/>
              </w:rPr>
              <w:t>1</w:t>
            </w:r>
            <w:r w:rsidR="000D2F1D" w:rsidRPr="000D2F1D">
              <w:rPr>
                <w:rFonts w:eastAsia="Times New Roman" w:cs="Calibri"/>
                <w:sz w:val="18"/>
                <w:szCs w:val="18"/>
                <w:lang w:eastAsia="es-MX"/>
              </w:rPr>
              <w:t>.</w:t>
            </w:r>
            <w:r w:rsidRPr="000D2F1D">
              <w:rPr>
                <w:rFonts w:eastAsia="Times New Roman" w:cs="Calibri"/>
                <w:sz w:val="18"/>
                <w:szCs w:val="18"/>
                <w:lang w:eastAsia="es-MX"/>
              </w:rPr>
              <w:t>195,715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6CE2E46" w14:textId="1A597741" w:rsidR="004D785D" w:rsidRPr="000D2F1D" w:rsidRDefault="004D785D" w:rsidP="004D785D">
            <w:pPr>
              <w:spacing w:after="0"/>
              <w:contextualSpacing w:val="0"/>
              <w:jc w:val="right"/>
              <w:rPr>
                <w:rFonts w:eastAsia="Times New Roman" w:cs="Calibri"/>
                <w:sz w:val="18"/>
                <w:szCs w:val="18"/>
                <w:lang w:eastAsia="es-MX"/>
              </w:rPr>
            </w:pPr>
            <w:r w:rsidRPr="000D2F1D">
              <w:rPr>
                <w:rFonts w:eastAsia="Times New Roman" w:cs="Calibri"/>
                <w:sz w:val="18"/>
                <w:szCs w:val="18"/>
                <w:lang w:eastAsia="es-MX"/>
              </w:rPr>
              <w:t>1</w:t>
            </w:r>
            <w:r w:rsidR="000D2F1D" w:rsidRPr="000D2F1D">
              <w:rPr>
                <w:rFonts w:eastAsia="Times New Roman" w:cs="Calibri"/>
                <w:sz w:val="18"/>
                <w:szCs w:val="18"/>
                <w:lang w:eastAsia="es-MX"/>
              </w:rPr>
              <w:t>.</w:t>
            </w:r>
            <w:r w:rsidRPr="000D2F1D">
              <w:rPr>
                <w:rFonts w:eastAsia="Times New Roman" w:cs="Calibri"/>
                <w:sz w:val="18"/>
                <w:szCs w:val="18"/>
                <w:lang w:eastAsia="es-MX"/>
              </w:rPr>
              <w:t>222,286</w:t>
            </w:r>
          </w:p>
        </w:tc>
      </w:tr>
      <w:tr w:rsidR="00264662" w:rsidRPr="004D785D" w14:paraId="71182AC0"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61BEA3"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Gualanday - Neiva</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DB4B2E"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E006F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1,400</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790B9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0,933</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4BED7C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0,700</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69D0E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0,467</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800A4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0,373</w:t>
            </w:r>
          </w:p>
        </w:tc>
      </w:tr>
      <w:tr w:rsidR="00264662" w:rsidRPr="004D785D" w14:paraId="6E5936B8"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2CEE7A" w14:textId="77777777" w:rsidR="004D785D" w:rsidRPr="004D785D" w:rsidRDefault="004D785D" w:rsidP="004D785D">
            <w:pPr>
              <w:spacing w:after="0"/>
              <w:contextualSpacing w:val="0"/>
              <w:rPr>
                <w:rFonts w:eastAsia="Times New Roman" w:cs="Calibri"/>
                <w:sz w:val="21"/>
                <w:szCs w:val="21"/>
                <w:lang w:eastAsia="es-MX"/>
              </w:rPr>
            </w:pPr>
            <w:proofErr w:type="spellStart"/>
            <w:r w:rsidRPr="004D785D">
              <w:rPr>
                <w:rFonts w:eastAsia="Times New Roman" w:cs="Calibri"/>
                <w:sz w:val="21"/>
                <w:szCs w:val="21"/>
                <w:lang w:eastAsia="es-MX"/>
              </w:rPr>
              <w:t>Montañuelo</w:t>
            </w:r>
            <w:proofErr w:type="spellEnd"/>
            <w:r w:rsidRPr="004D785D">
              <w:rPr>
                <w:rFonts w:eastAsia="Times New Roman" w:cs="Calibri"/>
                <w:sz w:val="21"/>
                <w:szCs w:val="21"/>
                <w:lang w:eastAsia="es-MX"/>
              </w:rPr>
              <w:t xml:space="preserve"> - Gualanday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1C5995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4992C80" w14:textId="14F6500E"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22</w:t>
            </w:r>
            <w:r w:rsidR="006560BE">
              <w:rPr>
                <w:rFonts w:eastAsia="Times New Roman" w:cs="Calibri"/>
                <w:sz w:val="16"/>
                <w:szCs w:val="16"/>
                <w:lang w:eastAsia="es-MX"/>
              </w:rPr>
              <w:t>.</w:t>
            </w:r>
            <w:r w:rsidRPr="00E271B5">
              <w:rPr>
                <w:rFonts w:eastAsia="Times New Roman" w:cs="Calibri"/>
                <w:sz w:val="16"/>
                <w:szCs w:val="16"/>
                <w:lang w:eastAsia="es-MX"/>
              </w:rPr>
              <w:t>763,766</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34CE850" w14:textId="4869EB2C"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26</w:t>
            </w:r>
            <w:r w:rsidR="006560BE">
              <w:rPr>
                <w:rFonts w:eastAsia="Times New Roman" w:cs="Calibri"/>
                <w:sz w:val="16"/>
                <w:szCs w:val="16"/>
                <w:lang w:eastAsia="es-MX"/>
              </w:rPr>
              <w:t>.</w:t>
            </w:r>
            <w:r w:rsidRPr="00E271B5">
              <w:rPr>
                <w:rFonts w:eastAsia="Times New Roman" w:cs="Calibri"/>
                <w:sz w:val="16"/>
                <w:szCs w:val="16"/>
                <w:lang w:eastAsia="es-MX"/>
              </w:rPr>
              <w:t>015,733</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8793FA5" w14:textId="226FD8C5"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27</w:t>
            </w:r>
            <w:r w:rsidR="006560BE">
              <w:rPr>
                <w:rFonts w:eastAsia="Times New Roman" w:cs="Calibri"/>
                <w:sz w:val="16"/>
                <w:szCs w:val="16"/>
                <w:lang w:eastAsia="es-MX"/>
              </w:rPr>
              <w:t>.</w:t>
            </w:r>
            <w:r w:rsidRPr="00E271B5">
              <w:rPr>
                <w:rFonts w:eastAsia="Times New Roman" w:cs="Calibri"/>
                <w:sz w:val="16"/>
                <w:szCs w:val="16"/>
                <w:lang w:eastAsia="es-MX"/>
              </w:rPr>
              <w:t>641,716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E8B7D14" w14:textId="37DBB29E"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29</w:t>
            </w:r>
            <w:r w:rsidR="006560BE">
              <w:rPr>
                <w:rFonts w:eastAsia="Times New Roman" w:cs="Calibri"/>
                <w:sz w:val="16"/>
                <w:szCs w:val="16"/>
                <w:lang w:eastAsia="es-MX"/>
              </w:rPr>
              <w:t>.</w:t>
            </w:r>
            <w:r w:rsidRPr="00E271B5">
              <w:rPr>
                <w:rFonts w:eastAsia="Times New Roman" w:cs="Calibri"/>
                <w:sz w:val="16"/>
                <w:szCs w:val="16"/>
                <w:lang w:eastAsia="es-MX"/>
              </w:rPr>
              <w:t>267,700</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4A1D78" w14:textId="026021F5" w:rsidR="004D785D" w:rsidRPr="00E271B5" w:rsidRDefault="004D785D" w:rsidP="004D785D">
            <w:pPr>
              <w:spacing w:after="0"/>
              <w:contextualSpacing w:val="0"/>
              <w:jc w:val="right"/>
              <w:rPr>
                <w:rFonts w:eastAsia="Times New Roman" w:cs="Calibri"/>
                <w:sz w:val="16"/>
                <w:szCs w:val="16"/>
                <w:lang w:eastAsia="es-MX"/>
              </w:rPr>
            </w:pPr>
            <w:r w:rsidRPr="00E271B5">
              <w:rPr>
                <w:rFonts w:eastAsia="Times New Roman" w:cs="Calibri"/>
                <w:sz w:val="16"/>
                <w:szCs w:val="16"/>
                <w:lang w:eastAsia="es-MX"/>
              </w:rPr>
              <w:t>29</w:t>
            </w:r>
            <w:r w:rsidR="006560BE">
              <w:rPr>
                <w:rFonts w:eastAsia="Times New Roman" w:cs="Calibri"/>
                <w:sz w:val="16"/>
                <w:szCs w:val="16"/>
                <w:lang w:eastAsia="es-MX"/>
              </w:rPr>
              <w:t>.</w:t>
            </w:r>
            <w:r w:rsidRPr="00E271B5">
              <w:rPr>
                <w:rFonts w:eastAsia="Times New Roman" w:cs="Calibri"/>
                <w:sz w:val="16"/>
                <w:szCs w:val="16"/>
                <w:lang w:eastAsia="es-MX"/>
              </w:rPr>
              <w:t>918,093</w:t>
            </w:r>
          </w:p>
        </w:tc>
      </w:tr>
      <w:tr w:rsidR="00264662" w:rsidRPr="004D785D" w14:paraId="5996524A"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951E89" w14:textId="77777777" w:rsidR="004D785D" w:rsidRPr="004D785D" w:rsidRDefault="004D785D" w:rsidP="004D785D">
            <w:pPr>
              <w:spacing w:after="0"/>
              <w:contextualSpacing w:val="0"/>
              <w:rPr>
                <w:rFonts w:eastAsia="Times New Roman" w:cs="Calibri"/>
                <w:sz w:val="21"/>
                <w:szCs w:val="21"/>
                <w:lang w:eastAsia="es-MX"/>
              </w:rPr>
            </w:pPr>
            <w:proofErr w:type="spellStart"/>
            <w:r w:rsidRPr="004D785D">
              <w:rPr>
                <w:rFonts w:eastAsia="Times New Roman" w:cs="Calibri"/>
                <w:sz w:val="21"/>
                <w:szCs w:val="21"/>
                <w:lang w:eastAsia="es-MX"/>
              </w:rPr>
              <w:t>Montañuelo</w:t>
            </w:r>
            <w:proofErr w:type="spellEnd"/>
            <w:r w:rsidRPr="004D785D">
              <w:rPr>
                <w:rFonts w:eastAsia="Times New Roman" w:cs="Calibri"/>
                <w:sz w:val="21"/>
                <w:szCs w:val="21"/>
                <w:lang w:eastAsia="es-MX"/>
              </w:rPr>
              <w:t xml:space="preserve"> - Gualanday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C16AFA"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531C06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30,861</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0AE0E9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20,574</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073CB3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15,430</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48EF6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10,287</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1603A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8,230</w:t>
            </w:r>
          </w:p>
        </w:tc>
      </w:tr>
      <w:tr w:rsidR="00264662" w:rsidRPr="004D785D" w14:paraId="1178BBFF"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6DFC50F"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 Boyacá - Santander</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197CB09"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754D20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124,445</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C0AA53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142,223</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F70531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151,112</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3318B9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160,001</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C472E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163,557</w:t>
            </w:r>
          </w:p>
        </w:tc>
      </w:tr>
      <w:tr w:rsidR="00264662" w:rsidRPr="004D785D" w14:paraId="6D1CE532"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D0E254"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 Boyacá - Santander</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878F4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914E3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0,235</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71AA1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0,156</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A97B4C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0,117</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FE665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A91F2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0,063</w:t>
            </w:r>
          </w:p>
        </w:tc>
      </w:tr>
      <w:tr w:rsidR="00264662" w:rsidRPr="004D785D" w14:paraId="4E2FE37F"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8919AB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lastRenderedPageBreak/>
              <w:t xml:space="preserve">La Belleza - Cogua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4E81E97"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EA59B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57,870</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810A5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66,137</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5776AC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70,271</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1490C3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74,405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66A0B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76,058</w:t>
            </w:r>
          </w:p>
        </w:tc>
      </w:tr>
      <w:tr w:rsidR="00264662" w:rsidRPr="004D785D" w14:paraId="12CAAFF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E374B57"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La Belleza - Cogua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521807"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70B31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0,109</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092439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0,073</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376BA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0,054</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295B7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0,036</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A73C8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0,029</w:t>
            </w:r>
          </w:p>
        </w:tc>
      </w:tr>
      <w:tr w:rsidR="00264662" w:rsidRPr="004D785D" w14:paraId="1DE895B9"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4CE2A52"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Cusiana - Apiay</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43A421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07207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101,240</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E75251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115,703</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1D7FB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122,935</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9B9292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130,166</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6DAF3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133,059</w:t>
            </w:r>
          </w:p>
        </w:tc>
      </w:tr>
      <w:tr w:rsidR="00264662" w:rsidRPr="004D785D" w14:paraId="661B2317"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C49685"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Cusiana - Apiay</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CF74F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C7CD5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0,142</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1EAFF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0,095</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50A94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0,071</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7A3AB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0,047</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82B745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0,038</w:t>
            </w:r>
          </w:p>
        </w:tc>
      </w:tr>
      <w:tr w:rsidR="00264662" w:rsidRPr="004D785D" w14:paraId="75DBDE84"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A1E225E"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Apiay - Usme</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19310A"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E7B0BA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171,449</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7AAFE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195,941</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BC020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208,188</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9A65B6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220,434</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0C386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225,333</w:t>
            </w:r>
          </w:p>
        </w:tc>
      </w:tr>
      <w:tr w:rsidR="00264662" w:rsidRPr="004D785D" w14:paraId="67C1A287"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EF462C5"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Apiay - Usme</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07DD9EF"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1E92C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0,232</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AF16D7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0,154</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00C57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0,116</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A46DA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0,077</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0E759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0,062</w:t>
            </w:r>
          </w:p>
        </w:tc>
      </w:tr>
      <w:tr w:rsidR="00264662" w:rsidRPr="004D785D" w14:paraId="2A760BF5"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A85073D"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Apiay - Villavicencio - </w:t>
            </w:r>
            <w:proofErr w:type="spellStart"/>
            <w:r w:rsidRPr="004D785D">
              <w:rPr>
                <w:rFonts w:eastAsia="Times New Roman" w:cs="Calibri"/>
                <w:sz w:val="21"/>
                <w:szCs w:val="21"/>
                <w:lang w:eastAsia="es-MX"/>
              </w:rPr>
              <w:t>Ocoa</w:t>
            </w:r>
            <w:proofErr w:type="spellEnd"/>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C735BBE"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09364C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82,140</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18E47E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93,875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69AE2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99,742</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34A04D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105,609</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A7EE8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107,956</w:t>
            </w:r>
          </w:p>
        </w:tc>
      </w:tr>
      <w:tr w:rsidR="00264662" w:rsidRPr="004D785D" w14:paraId="17A30EFC"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B56CDB"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Apiay - Villavicencio - </w:t>
            </w:r>
            <w:proofErr w:type="spellStart"/>
            <w:r w:rsidRPr="004D785D">
              <w:rPr>
                <w:rFonts w:eastAsia="Times New Roman" w:cs="Calibri"/>
                <w:sz w:val="21"/>
                <w:szCs w:val="21"/>
                <w:lang w:eastAsia="es-MX"/>
              </w:rPr>
              <w:t>Ocoa</w:t>
            </w:r>
            <w:proofErr w:type="spellEnd"/>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1DBF8A"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49CA8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0,121</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EB7C2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0,080</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05C4B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0,060</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58B2A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0,040</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CB0C4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0,032</w:t>
            </w:r>
          </w:p>
        </w:tc>
      </w:tr>
      <w:tr w:rsidR="00264662" w:rsidRPr="004D785D" w14:paraId="3CC7735D"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582917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Morichal - Yopal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D12893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B271C2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90,264</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66F28AF"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103,159</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1787D5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109,606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66E570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116,054</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20DF6F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118,633</w:t>
            </w:r>
          </w:p>
        </w:tc>
      </w:tr>
      <w:tr w:rsidR="00264662" w:rsidRPr="004D785D" w14:paraId="37AB37BA"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AA17B45"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Morichal - Yopal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02E0A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7157A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0,122</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3CC4F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0,081</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25BFD3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0,061</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0EBCAA"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0,041</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68A5BE"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0,033</w:t>
            </w:r>
          </w:p>
        </w:tc>
      </w:tr>
      <w:tr w:rsidR="00264662" w:rsidRPr="004D785D" w14:paraId="53A13942"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859BE8"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Cusiana - El Porvenir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6BAFC1C"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E667611"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14,433</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CC575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16,495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3FBDD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17,526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627FC0"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18,557</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6CBCDC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18,970</w:t>
            </w:r>
          </w:p>
        </w:tc>
      </w:tr>
      <w:tr w:rsidR="00264662" w:rsidRPr="004D785D" w14:paraId="0F37463A"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1E7224"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Cusiana - El Porvenir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0DAEC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9F64708"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0,027</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0FCFBB"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0,018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A0F9E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0,014</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79FB28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0,009</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9124A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0,007</w:t>
            </w:r>
          </w:p>
        </w:tc>
      </w:tr>
      <w:tr w:rsidR="00264662" w:rsidRPr="004D785D" w14:paraId="01C095C8"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68DDDB6"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Gasoducto de La Sabana </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B7F6344"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0FDA82"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65,323</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83E668C"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74,655</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CF0E0F9"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79,321</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FF3AD23"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83,987</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245FB24"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85,853</w:t>
            </w:r>
          </w:p>
        </w:tc>
      </w:tr>
      <w:tr w:rsidR="00264662" w:rsidRPr="004D785D" w14:paraId="52B31B29"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43EDD51" w14:textId="77777777"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MX"/>
              </w:rPr>
              <w:t xml:space="preserve">Gasoducto de La Sabana </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BD4718" w14:textId="77777777" w:rsidR="004D785D" w:rsidRPr="004D785D" w:rsidRDefault="004D785D" w:rsidP="004D785D">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A5D25F5"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0,118</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85F15D"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0,078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789299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0,059</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0D7787"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0,039</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AF2F36" w14:textId="77777777" w:rsidR="004D785D" w:rsidRPr="004D785D" w:rsidRDefault="004D785D" w:rsidP="004D785D">
            <w:pPr>
              <w:spacing w:after="0"/>
              <w:contextualSpacing w:val="0"/>
              <w:jc w:val="right"/>
              <w:rPr>
                <w:rFonts w:eastAsia="Times New Roman" w:cs="Calibri"/>
                <w:sz w:val="21"/>
                <w:szCs w:val="21"/>
                <w:lang w:eastAsia="es-MX"/>
              </w:rPr>
            </w:pPr>
            <w:r w:rsidRPr="004D785D">
              <w:rPr>
                <w:rFonts w:eastAsia="Times New Roman" w:cs="Calibri"/>
                <w:sz w:val="21"/>
                <w:szCs w:val="21"/>
                <w:lang w:eastAsia="es-MX"/>
              </w:rPr>
              <w:t>0,031</w:t>
            </w:r>
          </w:p>
        </w:tc>
      </w:tr>
      <w:tr w:rsidR="0016247E" w:rsidRPr="004D785D" w14:paraId="0A0446D4"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25C6FE" w14:textId="77777777" w:rsidR="0016247E" w:rsidRPr="004D785D" w:rsidRDefault="0016247E" w:rsidP="0016247E">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Gasoductos ramales TGI [2]</w:t>
            </w:r>
          </w:p>
        </w:tc>
        <w:tc>
          <w:tcPr>
            <w:tcW w:w="663"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04FC29C" w14:textId="77777777" w:rsidR="0016247E" w:rsidRPr="004D785D" w:rsidRDefault="0016247E" w:rsidP="0016247E">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CF</w:t>
            </w:r>
          </w:p>
        </w:tc>
        <w:tc>
          <w:tcPr>
            <w:tcW w:w="562" w:type="pct"/>
            <w:tcBorders>
              <w:top w:val="single" w:sz="4" w:space="0" w:color="A5A5A5"/>
              <w:left w:val="single" w:sz="4" w:space="0" w:color="A5A5A5"/>
              <w:bottom w:val="single" w:sz="4" w:space="0" w:color="A5A5A5"/>
              <w:right w:val="single" w:sz="4" w:space="0" w:color="A5A5A5"/>
            </w:tcBorders>
            <w:shd w:val="clear" w:color="EDEDED" w:fill="F2F2F2"/>
            <w:noWrap/>
          </w:tcPr>
          <w:p w14:paraId="5EE9A752" w14:textId="31D26367"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27,914</w:t>
            </w:r>
          </w:p>
        </w:tc>
        <w:tc>
          <w:tcPr>
            <w:tcW w:w="560" w:type="pct"/>
            <w:tcBorders>
              <w:top w:val="single" w:sz="4" w:space="0" w:color="A5A5A5"/>
              <w:left w:val="single" w:sz="4" w:space="0" w:color="A5A5A5"/>
              <w:bottom w:val="single" w:sz="4" w:space="0" w:color="A5A5A5"/>
              <w:right w:val="single" w:sz="4" w:space="0" w:color="A5A5A5"/>
            </w:tcBorders>
            <w:shd w:val="clear" w:color="EDEDED" w:fill="F2F2F2"/>
            <w:noWrap/>
          </w:tcPr>
          <w:p w14:paraId="44C4EE06" w14:textId="6F3C3FCE"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31,902</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tcPr>
          <w:p w14:paraId="51EC31F9" w14:textId="7568B66C"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33,896</w:t>
            </w:r>
          </w:p>
        </w:tc>
        <w:tc>
          <w:tcPr>
            <w:tcW w:w="583" w:type="pct"/>
            <w:tcBorders>
              <w:top w:val="single" w:sz="4" w:space="0" w:color="A5A5A5"/>
              <w:left w:val="single" w:sz="4" w:space="0" w:color="A5A5A5"/>
              <w:bottom w:val="single" w:sz="4" w:space="0" w:color="A5A5A5"/>
              <w:right w:val="single" w:sz="4" w:space="0" w:color="A5A5A5"/>
            </w:tcBorders>
            <w:shd w:val="clear" w:color="EDEDED" w:fill="F2F2F2"/>
            <w:noWrap/>
          </w:tcPr>
          <w:p w14:paraId="6D45F678" w14:textId="4D2B3F5A"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35,890</w:t>
            </w:r>
          </w:p>
        </w:tc>
        <w:tc>
          <w:tcPr>
            <w:tcW w:w="612" w:type="pct"/>
            <w:tcBorders>
              <w:top w:val="single" w:sz="4" w:space="0" w:color="A5A5A5"/>
              <w:left w:val="single" w:sz="4" w:space="0" w:color="A5A5A5"/>
              <w:bottom w:val="single" w:sz="4" w:space="0" w:color="A5A5A5"/>
              <w:right w:val="single" w:sz="4" w:space="0" w:color="A5A5A5"/>
            </w:tcBorders>
            <w:shd w:val="clear" w:color="EDEDED" w:fill="F2F2F2"/>
            <w:noWrap/>
          </w:tcPr>
          <w:p w14:paraId="300D51B5" w14:textId="0F2A2BC0"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36,687</w:t>
            </w:r>
          </w:p>
        </w:tc>
      </w:tr>
      <w:tr w:rsidR="0016247E" w:rsidRPr="004D785D" w14:paraId="06E7C386" w14:textId="77777777" w:rsidTr="0016247E">
        <w:trPr>
          <w:gridAfter w:val="1"/>
          <w:wAfter w:w="77" w:type="pct"/>
          <w:trHeight w:val="320"/>
        </w:trPr>
        <w:tc>
          <w:tcPr>
            <w:tcW w:w="1332"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1DDDB9" w14:textId="77777777" w:rsidR="0016247E" w:rsidRPr="004D785D" w:rsidRDefault="0016247E" w:rsidP="0016247E">
            <w:pPr>
              <w:spacing w:after="0"/>
              <w:contextualSpacing w:val="0"/>
              <w:rPr>
                <w:rFonts w:eastAsia="Times New Roman" w:cs="Calibri"/>
                <w:sz w:val="21"/>
                <w:szCs w:val="21"/>
                <w:lang w:eastAsia="es-MX"/>
              </w:rPr>
            </w:pPr>
            <w:r w:rsidRPr="004D785D">
              <w:rPr>
                <w:rFonts w:eastAsia="Times New Roman" w:cs="Calibri"/>
                <w:sz w:val="21"/>
                <w:szCs w:val="21"/>
                <w:lang w:eastAsia="es-MX"/>
              </w:rPr>
              <w:t>Gasoductos ramales TGI [2]</w:t>
            </w:r>
          </w:p>
        </w:tc>
        <w:tc>
          <w:tcPr>
            <w:tcW w:w="663"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CFF093" w14:textId="77777777" w:rsidR="0016247E" w:rsidRPr="004D785D" w:rsidRDefault="0016247E" w:rsidP="0016247E">
            <w:pPr>
              <w:spacing w:after="0"/>
              <w:contextualSpacing w:val="0"/>
              <w:jc w:val="center"/>
              <w:rPr>
                <w:rFonts w:eastAsia="Times New Roman" w:cs="Calibri"/>
                <w:sz w:val="21"/>
                <w:szCs w:val="21"/>
                <w:lang w:eastAsia="es-MX"/>
              </w:rPr>
            </w:pPr>
            <w:r w:rsidRPr="004D785D">
              <w:rPr>
                <w:rFonts w:eastAsia="Times New Roman" w:cs="Calibri"/>
                <w:sz w:val="21"/>
                <w:szCs w:val="21"/>
                <w:lang w:eastAsia="es-MX"/>
              </w:rPr>
              <w:t>CV</w:t>
            </w:r>
          </w:p>
        </w:tc>
        <w:tc>
          <w:tcPr>
            <w:tcW w:w="562" w:type="pct"/>
            <w:tcBorders>
              <w:top w:val="single" w:sz="4" w:space="0" w:color="A5A5A5"/>
              <w:left w:val="single" w:sz="4" w:space="0" w:color="A5A5A5"/>
              <w:bottom w:val="single" w:sz="4" w:space="0" w:color="A5A5A5"/>
              <w:right w:val="single" w:sz="4" w:space="0" w:color="A5A5A5"/>
            </w:tcBorders>
            <w:shd w:val="clear" w:color="auto" w:fill="auto"/>
            <w:noWrap/>
          </w:tcPr>
          <w:p w14:paraId="314D2699" w14:textId="5FDD263C"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0,055</w:t>
            </w:r>
          </w:p>
        </w:tc>
        <w:tc>
          <w:tcPr>
            <w:tcW w:w="560" w:type="pct"/>
            <w:tcBorders>
              <w:top w:val="single" w:sz="4" w:space="0" w:color="A5A5A5"/>
              <w:left w:val="single" w:sz="4" w:space="0" w:color="A5A5A5"/>
              <w:bottom w:val="single" w:sz="4" w:space="0" w:color="A5A5A5"/>
              <w:right w:val="single" w:sz="4" w:space="0" w:color="A5A5A5"/>
            </w:tcBorders>
            <w:shd w:val="clear" w:color="auto" w:fill="auto"/>
            <w:noWrap/>
          </w:tcPr>
          <w:p w14:paraId="77CE8456" w14:textId="4210C28F"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0,036</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tcPr>
          <w:p w14:paraId="48B7BF64" w14:textId="1804BDF8"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0,027</w:t>
            </w:r>
          </w:p>
        </w:tc>
        <w:tc>
          <w:tcPr>
            <w:tcW w:w="583" w:type="pct"/>
            <w:tcBorders>
              <w:top w:val="single" w:sz="4" w:space="0" w:color="A5A5A5"/>
              <w:left w:val="single" w:sz="4" w:space="0" w:color="A5A5A5"/>
              <w:bottom w:val="single" w:sz="4" w:space="0" w:color="A5A5A5"/>
              <w:right w:val="single" w:sz="4" w:space="0" w:color="A5A5A5"/>
            </w:tcBorders>
            <w:shd w:val="clear" w:color="auto" w:fill="auto"/>
            <w:noWrap/>
          </w:tcPr>
          <w:p w14:paraId="4C364BC0" w14:textId="08F89AA7"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0,018</w:t>
            </w:r>
          </w:p>
        </w:tc>
        <w:tc>
          <w:tcPr>
            <w:tcW w:w="612" w:type="pct"/>
            <w:tcBorders>
              <w:top w:val="single" w:sz="4" w:space="0" w:color="A5A5A5"/>
              <w:left w:val="single" w:sz="4" w:space="0" w:color="A5A5A5"/>
              <w:bottom w:val="single" w:sz="4" w:space="0" w:color="A5A5A5"/>
              <w:right w:val="single" w:sz="4" w:space="0" w:color="A5A5A5"/>
            </w:tcBorders>
            <w:shd w:val="clear" w:color="auto" w:fill="auto"/>
            <w:noWrap/>
          </w:tcPr>
          <w:p w14:paraId="5A04D838" w14:textId="4451BE0D" w:rsidR="0016247E" w:rsidRPr="001A3546" w:rsidRDefault="0016247E" w:rsidP="0016247E">
            <w:pPr>
              <w:spacing w:after="0"/>
              <w:contextualSpacing w:val="0"/>
              <w:jc w:val="right"/>
              <w:rPr>
                <w:rFonts w:eastAsia="Times New Roman" w:cs="Calibri"/>
                <w:sz w:val="20"/>
                <w:szCs w:val="18"/>
                <w:lang w:eastAsia="es-MX"/>
              </w:rPr>
            </w:pPr>
            <w:r w:rsidRPr="001A3546">
              <w:rPr>
                <w:sz w:val="20"/>
                <w:szCs w:val="18"/>
              </w:rPr>
              <w:t>0,015</w:t>
            </w:r>
          </w:p>
        </w:tc>
      </w:tr>
      <w:tr w:rsidR="00264662" w:rsidRPr="004D785D" w14:paraId="5849EB50" w14:textId="77777777" w:rsidTr="00356E74">
        <w:trPr>
          <w:gridAfter w:val="1"/>
          <w:wAfter w:w="77" w:type="pct"/>
          <w:trHeight w:val="300"/>
        </w:trPr>
        <w:tc>
          <w:tcPr>
            <w:tcW w:w="4923" w:type="pct"/>
            <w:gridSpan w:val="7"/>
            <w:tcBorders>
              <w:top w:val="nil"/>
              <w:left w:val="nil"/>
              <w:bottom w:val="nil"/>
              <w:right w:val="nil"/>
            </w:tcBorders>
            <w:shd w:val="clear" w:color="000000" w:fill="FFFFFF"/>
            <w:noWrap/>
            <w:vAlign w:val="center"/>
            <w:hideMark/>
          </w:tcPr>
          <w:p w14:paraId="738AEB09" w14:textId="77777777" w:rsidR="005A6D58" w:rsidRDefault="005A6D58" w:rsidP="004D785D">
            <w:pPr>
              <w:spacing w:after="0"/>
              <w:contextualSpacing w:val="0"/>
              <w:rPr>
                <w:rFonts w:eastAsia="Times New Roman" w:cs="Calibri"/>
                <w:sz w:val="21"/>
                <w:szCs w:val="21"/>
                <w:lang w:eastAsia="es-CO"/>
              </w:rPr>
            </w:pPr>
          </w:p>
          <w:p w14:paraId="0444A3BB" w14:textId="6EACBAE6" w:rsidR="004D785D" w:rsidRPr="004D785D" w:rsidRDefault="004D785D"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 xml:space="preserve">C.F. = Cargo fijo expresado en US $ de diciembre 31 de 2009 por </w:t>
            </w:r>
            <w:proofErr w:type="spellStart"/>
            <w:r w:rsidRPr="004D785D">
              <w:rPr>
                <w:rFonts w:eastAsia="Times New Roman" w:cs="Calibri"/>
                <w:sz w:val="21"/>
                <w:szCs w:val="21"/>
                <w:lang w:eastAsia="es-CO"/>
              </w:rPr>
              <w:t>kpcd</w:t>
            </w:r>
            <w:proofErr w:type="spellEnd"/>
            <w:r w:rsidRPr="004D785D">
              <w:rPr>
                <w:rFonts w:eastAsia="Times New Roman" w:cs="Calibri"/>
                <w:sz w:val="21"/>
                <w:szCs w:val="21"/>
                <w:lang w:eastAsia="es-CO"/>
              </w:rPr>
              <w:t xml:space="preserve">-año. </w:t>
            </w:r>
          </w:p>
        </w:tc>
      </w:tr>
      <w:tr w:rsidR="00264662" w:rsidRPr="004D785D" w14:paraId="3F6AC7FF" w14:textId="77777777" w:rsidTr="00356E74">
        <w:trPr>
          <w:trHeight w:val="300"/>
        </w:trPr>
        <w:tc>
          <w:tcPr>
            <w:tcW w:w="5000" w:type="pct"/>
            <w:gridSpan w:val="8"/>
            <w:tcBorders>
              <w:top w:val="nil"/>
              <w:left w:val="nil"/>
              <w:bottom w:val="nil"/>
              <w:right w:val="nil"/>
            </w:tcBorders>
            <w:shd w:val="clear" w:color="000000" w:fill="FFFFFF"/>
            <w:noWrap/>
            <w:vAlign w:val="center"/>
            <w:hideMark/>
          </w:tcPr>
          <w:p w14:paraId="26D5469D" w14:textId="77777777"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 xml:space="preserve">C.V. = Cargo variable expresado en US $ de diciembre 31 de 2009 por </w:t>
            </w:r>
            <w:proofErr w:type="spellStart"/>
            <w:r w:rsidRPr="004D785D">
              <w:rPr>
                <w:rFonts w:eastAsia="Times New Roman" w:cs="Calibri"/>
                <w:sz w:val="21"/>
                <w:szCs w:val="21"/>
                <w:lang w:eastAsia="es-CO"/>
              </w:rPr>
              <w:t>kpc</w:t>
            </w:r>
            <w:proofErr w:type="spellEnd"/>
            <w:r w:rsidRPr="004D785D">
              <w:rPr>
                <w:rFonts w:eastAsia="Times New Roman" w:cs="Calibri"/>
                <w:sz w:val="21"/>
                <w:szCs w:val="21"/>
                <w:lang w:eastAsia="es-CO"/>
              </w:rPr>
              <w:t xml:space="preserve">. </w:t>
            </w:r>
          </w:p>
        </w:tc>
      </w:tr>
      <w:tr w:rsidR="00264662" w:rsidRPr="004D785D" w14:paraId="1060B43F" w14:textId="77777777" w:rsidTr="00356E74">
        <w:trPr>
          <w:trHeight w:val="300"/>
        </w:trPr>
        <w:tc>
          <w:tcPr>
            <w:tcW w:w="4923" w:type="pct"/>
            <w:gridSpan w:val="7"/>
            <w:tcBorders>
              <w:top w:val="nil"/>
              <w:left w:val="nil"/>
              <w:bottom w:val="nil"/>
              <w:right w:val="nil"/>
            </w:tcBorders>
            <w:shd w:val="clear" w:color="000000" w:fill="FFFFFF"/>
            <w:noWrap/>
            <w:vAlign w:val="center"/>
            <w:hideMark/>
          </w:tcPr>
          <w:p w14:paraId="7E875E3F" w14:textId="77777777"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[1] Porcentaje de la inversión remunerada con cargo fijo.</w:t>
            </w:r>
          </w:p>
        </w:tc>
        <w:tc>
          <w:tcPr>
            <w:tcW w:w="77" w:type="pct"/>
            <w:vAlign w:val="center"/>
            <w:hideMark/>
          </w:tcPr>
          <w:p w14:paraId="2A378435" w14:textId="77777777" w:rsidR="00264662" w:rsidRPr="004D785D" w:rsidRDefault="00264662" w:rsidP="004D785D">
            <w:pPr>
              <w:spacing w:after="0"/>
              <w:contextualSpacing w:val="0"/>
              <w:rPr>
                <w:rFonts w:ascii="Times New Roman" w:eastAsia="Times New Roman" w:hAnsi="Times New Roman" w:cs="Times New Roman"/>
                <w:sz w:val="21"/>
                <w:szCs w:val="21"/>
                <w:lang w:eastAsia="es-MX"/>
              </w:rPr>
            </w:pPr>
          </w:p>
        </w:tc>
      </w:tr>
      <w:tr w:rsidR="00264662" w:rsidRPr="004D785D" w14:paraId="24F560AF" w14:textId="77777777" w:rsidTr="00356E74">
        <w:trPr>
          <w:trHeight w:val="300"/>
        </w:trPr>
        <w:tc>
          <w:tcPr>
            <w:tcW w:w="4923" w:type="pct"/>
            <w:gridSpan w:val="7"/>
            <w:tcBorders>
              <w:top w:val="nil"/>
              <w:left w:val="nil"/>
              <w:bottom w:val="nil"/>
              <w:right w:val="nil"/>
            </w:tcBorders>
            <w:shd w:val="clear" w:color="000000" w:fill="FFFFFF"/>
            <w:noWrap/>
            <w:vAlign w:val="center"/>
            <w:hideMark/>
          </w:tcPr>
          <w:p w14:paraId="68EF9579" w14:textId="77777777"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[2] Incluye ramales Sur de Bolívar.</w:t>
            </w:r>
          </w:p>
        </w:tc>
        <w:tc>
          <w:tcPr>
            <w:tcW w:w="77" w:type="pct"/>
            <w:vAlign w:val="center"/>
            <w:hideMark/>
          </w:tcPr>
          <w:p w14:paraId="4A4632D3" w14:textId="77777777" w:rsidR="00264662" w:rsidRPr="004D785D" w:rsidRDefault="00264662" w:rsidP="004D785D">
            <w:pPr>
              <w:spacing w:after="0"/>
              <w:contextualSpacing w:val="0"/>
              <w:rPr>
                <w:rFonts w:ascii="Times New Roman" w:eastAsia="Times New Roman" w:hAnsi="Times New Roman" w:cs="Times New Roman"/>
                <w:sz w:val="21"/>
                <w:szCs w:val="21"/>
                <w:lang w:eastAsia="es-MX"/>
              </w:rPr>
            </w:pPr>
          </w:p>
        </w:tc>
      </w:tr>
      <w:tr w:rsidR="00264662" w:rsidRPr="004D785D" w14:paraId="079031D9" w14:textId="77777777" w:rsidTr="00356E74">
        <w:trPr>
          <w:trHeight w:val="300"/>
        </w:trPr>
        <w:tc>
          <w:tcPr>
            <w:tcW w:w="4923" w:type="pct"/>
            <w:gridSpan w:val="7"/>
            <w:tcBorders>
              <w:top w:val="nil"/>
              <w:left w:val="nil"/>
              <w:bottom w:val="nil"/>
              <w:right w:val="nil"/>
            </w:tcBorders>
            <w:shd w:val="clear" w:color="000000" w:fill="FFFFFF"/>
            <w:noWrap/>
            <w:vAlign w:val="center"/>
            <w:hideMark/>
          </w:tcPr>
          <w:p w14:paraId="748AD0C2" w14:textId="5A602B9F" w:rsidR="00264662" w:rsidRPr="004D785D" w:rsidRDefault="00264662" w:rsidP="004D785D">
            <w:pPr>
              <w:spacing w:after="0"/>
              <w:contextualSpacing w:val="0"/>
              <w:rPr>
                <w:rFonts w:eastAsia="Times New Roman" w:cs="Calibri"/>
                <w:sz w:val="21"/>
                <w:szCs w:val="21"/>
                <w:lang w:eastAsia="es-MX"/>
              </w:rPr>
            </w:pPr>
            <w:r w:rsidRPr="004D785D">
              <w:rPr>
                <w:rFonts w:eastAsia="Times New Roman" w:cs="Calibri"/>
                <w:sz w:val="21"/>
                <w:szCs w:val="21"/>
                <w:lang w:eastAsia="es-CO"/>
              </w:rPr>
              <w:t>Nota: Para la interpretación de esta Resolución las cifras decimales se separan con coma y las cifras de miles se separan con punto.</w:t>
            </w:r>
          </w:p>
        </w:tc>
        <w:tc>
          <w:tcPr>
            <w:tcW w:w="77" w:type="pct"/>
            <w:vAlign w:val="center"/>
            <w:hideMark/>
          </w:tcPr>
          <w:p w14:paraId="0C7786FF" w14:textId="77777777" w:rsidR="00264662" w:rsidRPr="004D785D" w:rsidRDefault="00264662" w:rsidP="004D785D">
            <w:pPr>
              <w:spacing w:after="0"/>
              <w:contextualSpacing w:val="0"/>
              <w:rPr>
                <w:rFonts w:ascii="Times New Roman" w:eastAsia="Times New Roman" w:hAnsi="Times New Roman" w:cs="Times New Roman"/>
                <w:sz w:val="21"/>
                <w:szCs w:val="21"/>
                <w:lang w:eastAsia="es-MX"/>
              </w:rPr>
            </w:pPr>
          </w:p>
        </w:tc>
      </w:tr>
    </w:tbl>
    <w:p w14:paraId="0EF9EBFC" w14:textId="72E5BE17" w:rsidR="00E015AF" w:rsidRDefault="00E015AF" w:rsidP="00701978">
      <w:pPr>
        <w:ind w:left="-142"/>
      </w:pPr>
    </w:p>
    <w:p w14:paraId="68E23BCD" w14:textId="77777777" w:rsidR="00626002" w:rsidRDefault="00626002" w:rsidP="00701978">
      <w:pPr>
        <w:ind w:left="-142"/>
      </w:pPr>
    </w:p>
    <w:tbl>
      <w:tblPr>
        <w:tblW w:w="5000" w:type="pct"/>
        <w:tblCellMar>
          <w:left w:w="70" w:type="dxa"/>
          <w:right w:w="70" w:type="dxa"/>
        </w:tblCellMar>
        <w:tblLook w:val="04A0" w:firstRow="1" w:lastRow="0" w:firstColumn="1" w:lastColumn="0" w:noHBand="0" w:noVBand="1"/>
      </w:tblPr>
      <w:tblGrid>
        <w:gridCol w:w="3333"/>
        <w:gridCol w:w="1270"/>
        <w:gridCol w:w="1137"/>
        <w:gridCol w:w="1137"/>
        <w:gridCol w:w="1137"/>
        <w:gridCol w:w="1186"/>
        <w:gridCol w:w="146"/>
      </w:tblGrid>
      <w:tr w:rsidR="00103960" w:rsidRPr="00103960" w14:paraId="65AC8ADD" w14:textId="77777777" w:rsidTr="00A3567C">
        <w:trPr>
          <w:gridAfter w:val="1"/>
          <w:wAfter w:w="77" w:type="pct"/>
          <w:trHeight w:val="300"/>
          <w:tblHeader/>
        </w:trPr>
        <w:tc>
          <w:tcPr>
            <w:tcW w:w="157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78C980C" w14:textId="5D23548C"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 xml:space="preserve">% </w:t>
            </w:r>
            <w:r w:rsidR="009F09CF" w:rsidRPr="00057191">
              <w:rPr>
                <w:rFonts w:eastAsia="Times New Roman" w:cs="Calibri"/>
                <w:b/>
                <w:bCs/>
                <w:color w:val="000000" w:themeColor="text1"/>
                <w:sz w:val="21"/>
                <w:szCs w:val="21"/>
                <w:lang w:eastAsia="es-MX"/>
              </w:rPr>
              <w:t>Fijo [</w:t>
            </w:r>
            <w:r w:rsidRPr="00057191">
              <w:rPr>
                <w:rFonts w:eastAsia="Times New Roman" w:cs="Calibri"/>
                <w:b/>
                <w:bCs/>
                <w:color w:val="000000" w:themeColor="text1"/>
                <w:sz w:val="21"/>
                <w:szCs w:val="21"/>
                <w:lang w:eastAsia="es-MX"/>
              </w:rPr>
              <w:t>1]</w:t>
            </w:r>
          </w:p>
        </w:tc>
        <w:tc>
          <w:tcPr>
            <w:tcW w:w="761"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7B1C1A6"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TIPO</w:t>
            </w:r>
          </w:p>
        </w:tc>
        <w:tc>
          <w:tcPr>
            <w:tcW w:w="637"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595EED79"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94%</w:t>
            </w:r>
          </w:p>
        </w:tc>
        <w:tc>
          <w:tcPr>
            <w:tcW w:w="636"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9C91193"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96%</w:t>
            </w:r>
          </w:p>
        </w:tc>
        <w:tc>
          <w:tcPr>
            <w:tcW w:w="635"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21B40D58"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98%</w:t>
            </w:r>
          </w:p>
        </w:tc>
        <w:tc>
          <w:tcPr>
            <w:tcW w:w="678" w:type="pct"/>
            <w:tcBorders>
              <w:top w:val="single" w:sz="4" w:space="0" w:color="A5A5A5"/>
              <w:left w:val="single" w:sz="4" w:space="0" w:color="A5A5A5"/>
              <w:bottom w:val="single" w:sz="8" w:space="0" w:color="A5A5A5"/>
              <w:right w:val="single" w:sz="4" w:space="0" w:color="A5A5A5"/>
            </w:tcBorders>
            <w:shd w:val="clear" w:color="auto" w:fill="auto"/>
            <w:noWrap/>
            <w:vAlign w:val="center"/>
            <w:hideMark/>
          </w:tcPr>
          <w:p w14:paraId="1370B3C0" w14:textId="77777777" w:rsidR="00103960" w:rsidRPr="00057191" w:rsidRDefault="00103960" w:rsidP="00057191">
            <w:pPr>
              <w:spacing w:after="0"/>
              <w:contextualSpacing w:val="0"/>
              <w:jc w:val="center"/>
              <w:rPr>
                <w:rFonts w:eastAsia="Times New Roman" w:cs="Calibri"/>
                <w:b/>
                <w:bCs/>
                <w:color w:val="000000" w:themeColor="text1"/>
                <w:sz w:val="21"/>
                <w:szCs w:val="21"/>
                <w:lang w:eastAsia="es-MX"/>
              </w:rPr>
            </w:pPr>
            <w:r w:rsidRPr="00057191">
              <w:rPr>
                <w:rFonts w:eastAsia="Times New Roman" w:cs="Calibri"/>
                <w:b/>
                <w:bCs/>
                <w:color w:val="000000" w:themeColor="text1"/>
                <w:sz w:val="21"/>
                <w:szCs w:val="21"/>
                <w:lang w:eastAsia="es-MX"/>
              </w:rPr>
              <w:t>100%</w:t>
            </w:r>
          </w:p>
        </w:tc>
      </w:tr>
      <w:tr w:rsidR="0044676A" w:rsidRPr="00103960" w14:paraId="7CF323A5"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7583061" w14:textId="77777777" w:rsidR="0044676A" w:rsidRPr="00057191" w:rsidRDefault="0044676A" w:rsidP="0044676A">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Ballena - Barrancabermeja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D44C8E2" w14:textId="77777777" w:rsidR="0044676A" w:rsidRPr="00057191" w:rsidRDefault="0044676A" w:rsidP="0044676A">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DB8986" w14:textId="587A9574"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228,976</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37CA99" w14:textId="147DA2E0"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233,848</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641F28" w14:textId="120CB7EF"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238,719</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A0C17A0" w14:textId="4944292D"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243,591</w:t>
            </w:r>
          </w:p>
        </w:tc>
      </w:tr>
      <w:tr w:rsidR="0044676A" w:rsidRPr="00103960" w14:paraId="32089B31"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AB7EEF" w14:textId="77777777" w:rsidR="0044676A" w:rsidRPr="00057191" w:rsidRDefault="0044676A" w:rsidP="0044676A">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Ballena - Barrancabermeja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315264" w14:textId="77777777" w:rsidR="0044676A" w:rsidRPr="00057191" w:rsidRDefault="0044676A" w:rsidP="0044676A">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32AFAE" w14:textId="4A7161C3"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0,073</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8A6887" w14:textId="41023DC2"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0,049</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2D8AD02" w14:textId="68D002F5"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0,024</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71CE6B" w14:textId="32DE4C31" w:rsidR="0044676A" w:rsidRPr="0044676A" w:rsidRDefault="0044676A" w:rsidP="0044676A">
            <w:pPr>
              <w:spacing w:after="0"/>
              <w:contextualSpacing w:val="0"/>
              <w:jc w:val="right"/>
              <w:rPr>
                <w:rFonts w:eastAsia="Times New Roman" w:cs="Calibri"/>
                <w:sz w:val="21"/>
                <w:szCs w:val="21"/>
                <w:lang w:eastAsia="es-MX"/>
              </w:rPr>
            </w:pPr>
            <w:r w:rsidRPr="0044676A">
              <w:rPr>
                <w:rFonts w:cs="Calibri"/>
                <w:sz w:val="21"/>
                <w:szCs w:val="21"/>
              </w:rPr>
              <w:t>0,000</w:t>
            </w:r>
          </w:p>
        </w:tc>
      </w:tr>
      <w:tr w:rsidR="00103960" w:rsidRPr="00103960" w14:paraId="20875AB6"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3662BF"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Barrancabermeja - Sebastopol</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476F8DA"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335974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102,210</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9F8DDE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104,384</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65A45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106,559</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55F352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108,734</w:t>
            </w:r>
          </w:p>
        </w:tc>
      </w:tr>
      <w:tr w:rsidR="00103960" w:rsidRPr="00103960" w14:paraId="49BE9825"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AFB26A"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Barrancabermeja - Sebastopol</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5C4C20"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E1234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0,047</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112D80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0,032</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AF61C5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EAB393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32BFEBD7"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FDFA0E1"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Sebastopol - Vasconia</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12B9E9F"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710D2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41,898</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91297B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42,789</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954103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43,681</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8FDFC2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44,572</w:t>
            </w:r>
          </w:p>
        </w:tc>
      </w:tr>
      <w:tr w:rsidR="00103960" w:rsidRPr="00103960" w14:paraId="18D2162D"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7C7785E"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Sebastopol - Vasconia</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6158C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397D80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0,026</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48846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0,017</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00C2BC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0,009</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F91CC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6E8CB286"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EA976F1" w14:textId="61EC0BAF"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Vasconia </w:t>
            </w:r>
            <w:r w:rsidR="009F09CF" w:rsidRPr="00057191">
              <w:rPr>
                <w:rFonts w:eastAsia="Times New Roman" w:cs="Calibri"/>
                <w:color w:val="000000" w:themeColor="text1"/>
                <w:sz w:val="21"/>
                <w:szCs w:val="21"/>
                <w:lang w:eastAsia="es-MX"/>
              </w:rPr>
              <w:t>- Mariquita</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44D70A"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9FA6C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99,855</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71405F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101,979</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6366B0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104,104</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0B4437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106,228</w:t>
            </w:r>
          </w:p>
        </w:tc>
      </w:tr>
      <w:tr w:rsidR="00103960" w:rsidRPr="00103960" w14:paraId="36815488"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A9A269" w14:textId="22298BF2"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Vasconia </w:t>
            </w:r>
            <w:r w:rsidR="009F09CF" w:rsidRPr="00057191">
              <w:rPr>
                <w:rFonts w:eastAsia="Times New Roman" w:cs="Calibri"/>
                <w:color w:val="000000" w:themeColor="text1"/>
                <w:sz w:val="21"/>
                <w:szCs w:val="21"/>
                <w:lang w:eastAsia="es-MX"/>
              </w:rPr>
              <w:t>- Mariquita</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4C866FE"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723F7B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0,031</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9E3E2D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0,021</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82B33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0,010</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F212B2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4B95B044"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A94A579"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Vasconia - La Belleza</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39CD20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232EDF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113,811</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6DF6A1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116,232</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3F563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118,654</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EB5E8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121,075</w:t>
            </w:r>
          </w:p>
        </w:tc>
      </w:tr>
      <w:tr w:rsidR="00103960" w:rsidRPr="00103960" w14:paraId="0B6D8619"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97F10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Vasconia - La Belleza</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06689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8E75AE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0,035</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96EE9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0,023</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4AEF6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0,012</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8CEAA7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38241CEC"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3BE26C8"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El Porvenir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0E274E3"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AB051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213,616</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EE973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218,161</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52C402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222,706</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DA5AE7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227,251</w:t>
            </w:r>
          </w:p>
        </w:tc>
      </w:tr>
      <w:tr w:rsidR="00103960" w:rsidRPr="00103960" w14:paraId="679D49BA"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765AF5"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El Porvenir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8C3EF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57B0D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0,061</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28FE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0,041</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8AAFF5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0,020</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12E9B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70DB4E21"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822578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Pereira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7884087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C46A3A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127,620</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026F9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130,336</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17F561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133,051</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D1745B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135,766</w:t>
            </w:r>
          </w:p>
        </w:tc>
      </w:tr>
      <w:tr w:rsidR="00103960" w:rsidRPr="00103960" w14:paraId="1B7EADEA"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514C7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Pereira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EF2A1A"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F2EFC1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0,043</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8AC8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0,029</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2BE9B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0,014</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B2AC0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F087C14"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5E298EA"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Pereira - Armenia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41112E9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35FC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44,847</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190F1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45,801</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964A1A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46,755</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49B25D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47,710</w:t>
            </w:r>
          </w:p>
        </w:tc>
      </w:tr>
      <w:tr w:rsidR="00103960" w:rsidRPr="00103960" w14:paraId="1C8F9294"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8D019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lastRenderedPageBreak/>
              <w:t xml:space="preserve">Pereira - Armenia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3825D56"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B438C8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972DA2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0,011</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28E6F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0,005</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31337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0AA7AFC2"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AF6FC66"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Armenia - Cali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03DBD95"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9EBF8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103,077</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426023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105,271</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3104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107,464</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07B062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109,657</w:t>
            </w:r>
          </w:p>
        </w:tc>
      </w:tr>
      <w:tr w:rsidR="00103960" w:rsidRPr="00103960" w14:paraId="7408C9EA"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0E51AF"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Armenia - Cali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60925B"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1DBA53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0,038</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25F22D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0,026</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6C8CB2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0,013</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27703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65D5CF4A"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0371158"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Gualanday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BA10FD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CE9B8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350,748</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D495142"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358,211</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0BF1C3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365,673</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EA9DED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373,136</w:t>
            </w:r>
          </w:p>
        </w:tc>
      </w:tr>
      <w:tr w:rsidR="00103960" w:rsidRPr="00103960" w14:paraId="493373E4"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7E4224"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Mariquita - Gualanday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4BC4D5F"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6F11DB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0,075</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B0EA88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0,050</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64778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0,025</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4AFF5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1AA0DBF2"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5F1DB40"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Gualanday - Neiva</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A7515E5"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8D5BE65" w14:textId="413ABB2F" w:rsidR="00103960" w:rsidRPr="00686F56" w:rsidRDefault="00103960" w:rsidP="00057191">
            <w:pPr>
              <w:spacing w:after="0"/>
              <w:contextualSpacing w:val="0"/>
              <w:jc w:val="right"/>
              <w:rPr>
                <w:rFonts w:eastAsia="Times New Roman" w:cs="Calibri"/>
                <w:color w:val="000000" w:themeColor="text1"/>
                <w:sz w:val="20"/>
                <w:szCs w:val="20"/>
                <w:lang w:eastAsia="es-MX"/>
              </w:rPr>
            </w:pPr>
            <w:r w:rsidRPr="00686F56">
              <w:rPr>
                <w:rFonts w:eastAsia="Times New Roman" w:cs="Calibri"/>
                <w:color w:val="000000" w:themeColor="text1"/>
                <w:sz w:val="20"/>
                <w:szCs w:val="20"/>
                <w:lang w:eastAsia="es-MX"/>
              </w:rPr>
              <w:t>1</w:t>
            </w:r>
            <w:r w:rsidR="00817C6A" w:rsidRPr="00686F56">
              <w:rPr>
                <w:rFonts w:eastAsia="Times New Roman" w:cs="Calibri"/>
                <w:color w:val="000000" w:themeColor="text1"/>
                <w:sz w:val="20"/>
                <w:szCs w:val="20"/>
                <w:lang w:eastAsia="es-MX"/>
              </w:rPr>
              <w:t>.</w:t>
            </w:r>
            <w:r w:rsidRPr="00686F56">
              <w:rPr>
                <w:rFonts w:eastAsia="Times New Roman" w:cs="Calibri"/>
                <w:color w:val="000000" w:themeColor="text1"/>
                <w:sz w:val="20"/>
                <w:szCs w:val="20"/>
                <w:lang w:eastAsia="es-MX"/>
              </w:rPr>
              <w:t>248,858</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AF5F81D" w14:textId="052BD138" w:rsidR="00103960" w:rsidRPr="00686F56" w:rsidRDefault="00103960" w:rsidP="00057191">
            <w:pPr>
              <w:spacing w:after="0"/>
              <w:contextualSpacing w:val="0"/>
              <w:jc w:val="right"/>
              <w:rPr>
                <w:rFonts w:eastAsia="Times New Roman" w:cs="Calibri"/>
                <w:color w:val="000000" w:themeColor="text1"/>
                <w:sz w:val="20"/>
                <w:szCs w:val="20"/>
                <w:lang w:eastAsia="es-MX"/>
              </w:rPr>
            </w:pPr>
            <w:r w:rsidRPr="00686F56">
              <w:rPr>
                <w:rFonts w:eastAsia="Times New Roman" w:cs="Calibri"/>
                <w:color w:val="000000" w:themeColor="text1"/>
                <w:sz w:val="20"/>
                <w:szCs w:val="20"/>
                <w:lang w:eastAsia="es-MX"/>
              </w:rPr>
              <w:t>1</w:t>
            </w:r>
            <w:r w:rsidR="00817C6A" w:rsidRPr="00686F56">
              <w:rPr>
                <w:rFonts w:eastAsia="Times New Roman" w:cs="Calibri"/>
                <w:color w:val="000000" w:themeColor="text1"/>
                <w:sz w:val="20"/>
                <w:szCs w:val="20"/>
                <w:lang w:eastAsia="es-MX"/>
              </w:rPr>
              <w:t>.</w:t>
            </w:r>
            <w:r w:rsidRPr="00686F56">
              <w:rPr>
                <w:rFonts w:eastAsia="Times New Roman" w:cs="Calibri"/>
                <w:color w:val="000000" w:themeColor="text1"/>
                <w:sz w:val="20"/>
                <w:szCs w:val="20"/>
                <w:lang w:eastAsia="es-MX"/>
              </w:rPr>
              <w:t>275,429</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93C5F0E" w14:textId="7D060E55" w:rsidR="00103960" w:rsidRPr="00686F56" w:rsidRDefault="00103960" w:rsidP="00057191">
            <w:pPr>
              <w:spacing w:after="0"/>
              <w:contextualSpacing w:val="0"/>
              <w:jc w:val="right"/>
              <w:rPr>
                <w:rFonts w:eastAsia="Times New Roman" w:cs="Calibri"/>
                <w:color w:val="000000" w:themeColor="text1"/>
                <w:sz w:val="20"/>
                <w:szCs w:val="20"/>
                <w:lang w:eastAsia="es-MX"/>
              </w:rPr>
            </w:pPr>
            <w:r w:rsidRPr="00686F56">
              <w:rPr>
                <w:rFonts w:eastAsia="Times New Roman" w:cs="Calibri"/>
                <w:color w:val="000000" w:themeColor="text1"/>
                <w:sz w:val="20"/>
                <w:szCs w:val="20"/>
                <w:lang w:eastAsia="es-MX"/>
              </w:rPr>
              <w:t>1</w:t>
            </w:r>
            <w:r w:rsidR="00817C6A" w:rsidRPr="00686F56">
              <w:rPr>
                <w:rFonts w:eastAsia="Times New Roman" w:cs="Calibri"/>
                <w:color w:val="000000" w:themeColor="text1"/>
                <w:sz w:val="20"/>
                <w:szCs w:val="20"/>
                <w:lang w:eastAsia="es-MX"/>
              </w:rPr>
              <w:t>.</w:t>
            </w:r>
            <w:r w:rsidRPr="00686F56">
              <w:rPr>
                <w:rFonts w:eastAsia="Times New Roman" w:cs="Calibri"/>
                <w:color w:val="000000" w:themeColor="text1"/>
                <w:sz w:val="20"/>
                <w:szCs w:val="20"/>
                <w:lang w:eastAsia="es-MX"/>
              </w:rPr>
              <w:t>302,000</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C1772EE" w14:textId="6C60CD89"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w:t>
            </w:r>
            <w:r w:rsidR="00817C6A">
              <w:rPr>
                <w:rFonts w:eastAsia="Times New Roman" w:cs="Calibri"/>
                <w:color w:val="000000" w:themeColor="text1"/>
                <w:sz w:val="21"/>
                <w:szCs w:val="21"/>
                <w:lang w:eastAsia="es-MX"/>
              </w:rPr>
              <w:t>.</w:t>
            </w:r>
            <w:r w:rsidRPr="00057191">
              <w:rPr>
                <w:rFonts w:eastAsia="Times New Roman" w:cs="Calibri"/>
                <w:color w:val="000000" w:themeColor="text1"/>
                <w:sz w:val="21"/>
                <w:szCs w:val="21"/>
                <w:lang w:eastAsia="es-MX"/>
              </w:rPr>
              <w:t>328,572</w:t>
            </w:r>
          </w:p>
        </w:tc>
      </w:tr>
      <w:tr w:rsidR="00103960" w:rsidRPr="00103960" w14:paraId="34BCB24A"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8229155"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Gualanday - Neiva</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12E291E"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EC496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0,280</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DC9B9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0,187</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D1165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0,093</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53B7B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DEBBE38"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610988D" w14:textId="77777777" w:rsidR="00103960" w:rsidRPr="00057191" w:rsidRDefault="00103960" w:rsidP="00057191">
            <w:pPr>
              <w:spacing w:after="0"/>
              <w:contextualSpacing w:val="0"/>
              <w:rPr>
                <w:rFonts w:eastAsia="Times New Roman" w:cs="Calibri"/>
                <w:color w:val="000000" w:themeColor="text1"/>
                <w:sz w:val="21"/>
                <w:szCs w:val="21"/>
                <w:lang w:eastAsia="es-MX"/>
              </w:rPr>
            </w:pPr>
            <w:proofErr w:type="spellStart"/>
            <w:r w:rsidRPr="00057191">
              <w:rPr>
                <w:rFonts w:eastAsia="Times New Roman" w:cs="Calibri"/>
                <w:color w:val="000000" w:themeColor="text1"/>
                <w:sz w:val="21"/>
                <w:szCs w:val="21"/>
                <w:lang w:eastAsia="es-MX"/>
              </w:rPr>
              <w:t>Montañuelo</w:t>
            </w:r>
            <w:proofErr w:type="spellEnd"/>
            <w:r w:rsidRPr="00057191">
              <w:rPr>
                <w:rFonts w:eastAsia="Times New Roman" w:cs="Calibri"/>
                <w:color w:val="000000" w:themeColor="text1"/>
                <w:sz w:val="21"/>
                <w:szCs w:val="21"/>
                <w:lang w:eastAsia="es-MX"/>
              </w:rPr>
              <w:t xml:space="preserve"> - Gualanday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5B920A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A259E4D" w14:textId="10C66950"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30</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568,486</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036B356" w14:textId="26C2E0EE"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31</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218,880</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D8AA908" w14:textId="3CDCD61E"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31</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869,273</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B8379FD" w14:textId="7F0F0A72" w:rsidR="00103960" w:rsidRPr="00686F56" w:rsidRDefault="00103960" w:rsidP="00057191">
            <w:pPr>
              <w:spacing w:after="0"/>
              <w:contextualSpacing w:val="0"/>
              <w:jc w:val="right"/>
              <w:rPr>
                <w:rFonts w:eastAsia="Times New Roman" w:cs="Calibri"/>
                <w:color w:val="000000" w:themeColor="text1"/>
                <w:sz w:val="16"/>
                <w:szCs w:val="16"/>
                <w:lang w:eastAsia="es-MX"/>
              </w:rPr>
            </w:pPr>
            <w:r w:rsidRPr="00686F56">
              <w:rPr>
                <w:rFonts w:eastAsia="Times New Roman" w:cs="Calibri"/>
                <w:color w:val="000000" w:themeColor="text1"/>
                <w:sz w:val="16"/>
                <w:szCs w:val="16"/>
                <w:lang w:eastAsia="es-MX"/>
              </w:rPr>
              <w:t>32</w:t>
            </w:r>
            <w:r w:rsidR="00686F56" w:rsidRPr="00686F56">
              <w:rPr>
                <w:rFonts w:eastAsia="Times New Roman" w:cs="Calibri"/>
                <w:color w:val="000000" w:themeColor="text1"/>
                <w:sz w:val="16"/>
                <w:szCs w:val="16"/>
                <w:lang w:eastAsia="es-MX"/>
              </w:rPr>
              <w:t>.</w:t>
            </w:r>
            <w:r w:rsidRPr="00686F56">
              <w:rPr>
                <w:rFonts w:eastAsia="Times New Roman" w:cs="Calibri"/>
                <w:color w:val="000000" w:themeColor="text1"/>
                <w:sz w:val="16"/>
                <w:szCs w:val="16"/>
                <w:lang w:eastAsia="es-MX"/>
              </w:rPr>
              <w:t>519,666</w:t>
            </w:r>
          </w:p>
        </w:tc>
      </w:tr>
      <w:tr w:rsidR="00103960" w:rsidRPr="00103960" w14:paraId="53C1F001"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ED45FB" w14:textId="77777777" w:rsidR="00103960" w:rsidRPr="00057191" w:rsidRDefault="00103960" w:rsidP="00057191">
            <w:pPr>
              <w:spacing w:after="0"/>
              <w:contextualSpacing w:val="0"/>
              <w:rPr>
                <w:rFonts w:eastAsia="Times New Roman" w:cs="Calibri"/>
                <w:color w:val="000000" w:themeColor="text1"/>
                <w:sz w:val="21"/>
                <w:szCs w:val="21"/>
                <w:lang w:eastAsia="es-MX"/>
              </w:rPr>
            </w:pPr>
            <w:proofErr w:type="spellStart"/>
            <w:r w:rsidRPr="00057191">
              <w:rPr>
                <w:rFonts w:eastAsia="Times New Roman" w:cs="Calibri"/>
                <w:color w:val="000000" w:themeColor="text1"/>
                <w:sz w:val="21"/>
                <w:szCs w:val="21"/>
                <w:lang w:eastAsia="es-MX"/>
              </w:rPr>
              <w:t>Montañuelo</w:t>
            </w:r>
            <w:proofErr w:type="spellEnd"/>
            <w:r w:rsidRPr="00057191">
              <w:rPr>
                <w:rFonts w:eastAsia="Times New Roman" w:cs="Calibri"/>
                <w:color w:val="000000" w:themeColor="text1"/>
                <w:sz w:val="21"/>
                <w:szCs w:val="21"/>
                <w:lang w:eastAsia="es-MX"/>
              </w:rPr>
              <w:t xml:space="preserve"> - Gualanday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A28DA5"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20B6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6,172</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F8CD6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4,115</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3EC12E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2,057</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9EDE4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5D52FFC"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2148C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 Boyacá - Santander</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61F1E224"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77D75D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167,112</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31E8F2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170,668</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665862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174,224</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FD97E7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177,779</w:t>
            </w:r>
          </w:p>
        </w:tc>
      </w:tr>
      <w:tr w:rsidR="00103960" w:rsidRPr="00103960" w14:paraId="53334AF0"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9EBC86"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 Boyacá - Santander</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AB342AF"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A1223E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0,047</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F7C66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0,031</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0826E4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CE4B8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657631B"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1CEAB92"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Cogua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098E20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424B05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77,711</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2E8CD19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79,365</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B526B1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81,018</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3E3699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82,672</w:t>
            </w:r>
          </w:p>
        </w:tc>
      </w:tr>
      <w:tr w:rsidR="00103960" w:rsidRPr="00103960" w14:paraId="3BA893B3"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181F00D"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La Belleza - Cogua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0E31C7C"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3C87AF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0,022</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223F3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0,015</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E08AA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0,007</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23523BB"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8C8F3CD"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D3720E7"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Cusiana - Apiay</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56F626D1"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C3C052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135,951</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59E923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138,844</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5C3B2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141,736</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055DB3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144,629</w:t>
            </w:r>
          </w:p>
        </w:tc>
      </w:tr>
      <w:tr w:rsidR="00103960" w:rsidRPr="00103960" w14:paraId="4DEF40A5"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3DD93D"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Cusiana - Apiay</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FC3C3D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3DD2C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0,028</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CCA9F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0,019</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A111A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0,009</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E2EA15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32F74B13"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E8FD7D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Apiay - Usme</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F57AA5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12ED30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230,231</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C61897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235,130</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E31AE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240,028</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78C0DB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244,927</w:t>
            </w:r>
          </w:p>
        </w:tc>
      </w:tr>
      <w:tr w:rsidR="00103960" w:rsidRPr="00103960" w14:paraId="7AE55663"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407DBB6"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Apiay - Usme</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C84BDB7"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B6F0533"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0,046</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2748B4"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0,031</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71CC655"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0,015</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5F1736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3DBA6A8"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B300C99"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Apiay - Villavicencio - </w:t>
            </w:r>
            <w:proofErr w:type="spellStart"/>
            <w:r w:rsidRPr="00057191">
              <w:rPr>
                <w:rFonts w:eastAsia="Times New Roman" w:cs="Calibri"/>
                <w:color w:val="000000" w:themeColor="text1"/>
                <w:sz w:val="21"/>
                <w:szCs w:val="21"/>
                <w:lang w:eastAsia="es-MX"/>
              </w:rPr>
              <w:t>Ocoa</w:t>
            </w:r>
            <w:proofErr w:type="spellEnd"/>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0D60348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ECB1A6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110,303</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0C167BF"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112,650</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6B5BAF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114,997</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4D17E0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117,343</w:t>
            </w:r>
          </w:p>
        </w:tc>
      </w:tr>
      <w:tr w:rsidR="00103960" w:rsidRPr="00103960" w14:paraId="0DA66B40"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95610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Apiay - Villavicencio - </w:t>
            </w:r>
            <w:proofErr w:type="spellStart"/>
            <w:r w:rsidRPr="00057191">
              <w:rPr>
                <w:rFonts w:eastAsia="Times New Roman" w:cs="Calibri"/>
                <w:color w:val="000000" w:themeColor="text1"/>
                <w:sz w:val="21"/>
                <w:szCs w:val="21"/>
                <w:lang w:eastAsia="es-MX"/>
              </w:rPr>
              <w:t>Ocoa</w:t>
            </w:r>
            <w:proofErr w:type="spellEnd"/>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9B76BBB"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ACD54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0,024</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D7DDCE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08F7B6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0,008</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B7E0C3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F345C27"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46D399C"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Morichal - Yopal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D47FAD4"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D6E52BC"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121,212</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C68C73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123,791</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AAF8FC6"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126,370</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C2B965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128,949</w:t>
            </w:r>
          </w:p>
        </w:tc>
      </w:tr>
      <w:tr w:rsidR="00103960" w:rsidRPr="00103960" w14:paraId="0D30429E"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6C0336F"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Morichal - Yopal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821F6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FBE32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0,024</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246FBA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83037D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0,008</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CDBF41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5C5F16A9"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F787195"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Cusiana - El Porvenir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1AAA0DDD"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8E29BA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19,382</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7878EF69"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19,794</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5285886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20,207</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67CDC72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20,619</w:t>
            </w:r>
          </w:p>
        </w:tc>
      </w:tr>
      <w:tr w:rsidR="00103960" w:rsidRPr="00103960" w14:paraId="6CE88E75"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F54143"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Cusiana - El Porvenir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9D58872"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E066D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0,005</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ED60F62"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0,004</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19152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0,002</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E4DE21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103960" w:rsidRPr="00103960" w14:paraId="2491D776"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30AE1E7C"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Gasoducto de La Sabana </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22D437D1"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26E0C51"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87,719</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12DB4C88"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89,586</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0213AD5D"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91,452</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7EE85DA"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93,319</w:t>
            </w:r>
          </w:p>
        </w:tc>
      </w:tr>
      <w:tr w:rsidR="00103960" w:rsidRPr="00103960" w14:paraId="7C7FC819"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039D7E" w14:textId="77777777" w:rsidR="00103960" w:rsidRPr="00057191" w:rsidRDefault="00103960" w:rsidP="00057191">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 xml:space="preserve">Gasoducto de La Sabana </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BD9329" w14:textId="77777777" w:rsidR="00103960" w:rsidRPr="00057191" w:rsidRDefault="00103960" w:rsidP="00057191">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EC36210"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0,024</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895D54E"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0,016</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724F4D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0,008</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FD1BE57" w14:textId="77777777" w:rsidR="00103960" w:rsidRPr="00057191" w:rsidRDefault="00103960" w:rsidP="00057191">
            <w:pPr>
              <w:spacing w:after="0"/>
              <w:contextualSpacing w:val="0"/>
              <w:jc w:val="right"/>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0,000</w:t>
            </w:r>
          </w:p>
        </w:tc>
      </w:tr>
      <w:tr w:rsidR="00762396" w:rsidRPr="00103960" w14:paraId="529F2DE2"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EDEDED" w:fill="F2F2F2"/>
            <w:noWrap/>
            <w:vAlign w:val="bottom"/>
            <w:hideMark/>
          </w:tcPr>
          <w:p w14:paraId="4D2C65A3" w14:textId="77777777" w:rsidR="00762396" w:rsidRPr="00057191" w:rsidRDefault="00762396" w:rsidP="00762396">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Gasoductos ramales TGI [2]</w:t>
            </w:r>
          </w:p>
        </w:tc>
        <w:tc>
          <w:tcPr>
            <w:tcW w:w="761" w:type="pct"/>
            <w:tcBorders>
              <w:top w:val="single" w:sz="4" w:space="0" w:color="A5A5A5"/>
              <w:left w:val="single" w:sz="4" w:space="0" w:color="A5A5A5"/>
              <w:bottom w:val="single" w:sz="4" w:space="0" w:color="A5A5A5"/>
              <w:right w:val="single" w:sz="4" w:space="0" w:color="A5A5A5"/>
            </w:tcBorders>
            <w:shd w:val="clear" w:color="EDEDED" w:fill="F2F2F2"/>
            <w:noWrap/>
            <w:vAlign w:val="center"/>
            <w:hideMark/>
          </w:tcPr>
          <w:p w14:paraId="3B43F01D" w14:textId="77777777" w:rsidR="00762396" w:rsidRPr="00057191" w:rsidRDefault="00762396" w:rsidP="00762396">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CF</w:t>
            </w:r>
          </w:p>
        </w:tc>
        <w:tc>
          <w:tcPr>
            <w:tcW w:w="637" w:type="pct"/>
            <w:tcBorders>
              <w:top w:val="single" w:sz="4" w:space="0" w:color="A5A5A5"/>
              <w:left w:val="single" w:sz="4" w:space="0" w:color="A5A5A5"/>
              <w:bottom w:val="single" w:sz="4" w:space="0" w:color="A5A5A5"/>
              <w:right w:val="single" w:sz="4" w:space="0" w:color="A5A5A5"/>
            </w:tcBorders>
            <w:shd w:val="clear" w:color="EDEDED" w:fill="F2F2F2"/>
            <w:noWrap/>
          </w:tcPr>
          <w:p w14:paraId="385F5078" w14:textId="7EF9B44E"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37,485</w:t>
            </w:r>
          </w:p>
        </w:tc>
        <w:tc>
          <w:tcPr>
            <w:tcW w:w="636" w:type="pct"/>
            <w:tcBorders>
              <w:top w:val="single" w:sz="4" w:space="0" w:color="A5A5A5"/>
              <w:left w:val="single" w:sz="4" w:space="0" w:color="A5A5A5"/>
              <w:bottom w:val="single" w:sz="4" w:space="0" w:color="A5A5A5"/>
              <w:right w:val="single" w:sz="4" w:space="0" w:color="A5A5A5"/>
            </w:tcBorders>
            <w:shd w:val="clear" w:color="EDEDED" w:fill="F2F2F2"/>
            <w:noWrap/>
          </w:tcPr>
          <w:p w14:paraId="3B9ECD75" w14:textId="4C87022E"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38,282</w:t>
            </w:r>
          </w:p>
        </w:tc>
        <w:tc>
          <w:tcPr>
            <w:tcW w:w="635" w:type="pct"/>
            <w:tcBorders>
              <w:top w:val="single" w:sz="4" w:space="0" w:color="A5A5A5"/>
              <w:left w:val="single" w:sz="4" w:space="0" w:color="A5A5A5"/>
              <w:bottom w:val="single" w:sz="4" w:space="0" w:color="A5A5A5"/>
              <w:right w:val="single" w:sz="4" w:space="0" w:color="A5A5A5"/>
            </w:tcBorders>
            <w:shd w:val="clear" w:color="EDEDED" w:fill="F2F2F2"/>
            <w:noWrap/>
          </w:tcPr>
          <w:p w14:paraId="563CCE61" w14:textId="726B83A3"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39,080</w:t>
            </w:r>
          </w:p>
        </w:tc>
        <w:tc>
          <w:tcPr>
            <w:tcW w:w="678" w:type="pct"/>
            <w:tcBorders>
              <w:top w:val="single" w:sz="4" w:space="0" w:color="A5A5A5"/>
              <w:left w:val="single" w:sz="4" w:space="0" w:color="A5A5A5"/>
              <w:bottom w:val="single" w:sz="4" w:space="0" w:color="A5A5A5"/>
              <w:right w:val="single" w:sz="4" w:space="0" w:color="A5A5A5"/>
            </w:tcBorders>
            <w:shd w:val="clear" w:color="EDEDED" w:fill="F2F2F2"/>
            <w:noWrap/>
          </w:tcPr>
          <w:p w14:paraId="75C64703" w14:textId="21A5F7C2"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39,877</w:t>
            </w:r>
          </w:p>
        </w:tc>
      </w:tr>
      <w:tr w:rsidR="00762396" w:rsidRPr="00103960" w14:paraId="37536045" w14:textId="77777777" w:rsidTr="00A3567C">
        <w:trPr>
          <w:gridAfter w:val="1"/>
          <w:wAfter w:w="77" w:type="pct"/>
          <w:trHeight w:val="320"/>
        </w:trPr>
        <w:tc>
          <w:tcPr>
            <w:tcW w:w="1576"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FB0113E" w14:textId="77777777" w:rsidR="00762396" w:rsidRPr="00057191" w:rsidRDefault="00762396" w:rsidP="00762396">
            <w:pPr>
              <w:spacing w:after="0"/>
              <w:contextualSpacing w:val="0"/>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Gasoductos ramales TGI [2]</w:t>
            </w:r>
          </w:p>
        </w:tc>
        <w:tc>
          <w:tcPr>
            <w:tcW w:w="761" w:type="pct"/>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0923EB4" w14:textId="77777777" w:rsidR="00762396" w:rsidRPr="00057191" w:rsidRDefault="00762396" w:rsidP="00762396">
            <w:pPr>
              <w:spacing w:after="0"/>
              <w:contextualSpacing w:val="0"/>
              <w:jc w:val="center"/>
              <w:rPr>
                <w:rFonts w:eastAsia="Times New Roman" w:cs="Calibri"/>
                <w:color w:val="000000" w:themeColor="text1"/>
                <w:sz w:val="21"/>
                <w:szCs w:val="21"/>
                <w:lang w:eastAsia="es-MX"/>
              </w:rPr>
            </w:pPr>
            <w:r w:rsidRPr="00057191">
              <w:rPr>
                <w:rFonts w:eastAsia="Times New Roman" w:cs="Calibri"/>
                <w:color w:val="000000" w:themeColor="text1"/>
                <w:sz w:val="21"/>
                <w:szCs w:val="21"/>
                <w:lang w:eastAsia="es-MX"/>
              </w:rPr>
              <w:t>CV</w:t>
            </w:r>
          </w:p>
        </w:tc>
        <w:tc>
          <w:tcPr>
            <w:tcW w:w="637" w:type="pct"/>
            <w:tcBorders>
              <w:top w:val="single" w:sz="4" w:space="0" w:color="A5A5A5"/>
              <w:left w:val="single" w:sz="4" w:space="0" w:color="A5A5A5"/>
              <w:bottom w:val="single" w:sz="4" w:space="0" w:color="A5A5A5"/>
              <w:right w:val="single" w:sz="4" w:space="0" w:color="A5A5A5"/>
            </w:tcBorders>
            <w:shd w:val="clear" w:color="auto" w:fill="auto"/>
            <w:noWrap/>
          </w:tcPr>
          <w:p w14:paraId="657C6EA8" w14:textId="771E848C"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0,011</w:t>
            </w:r>
          </w:p>
        </w:tc>
        <w:tc>
          <w:tcPr>
            <w:tcW w:w="636" w:type="pct"/>
            <w:tcBorders>
              <w:top w:val="single" w:sz="4" w:space="0" w:color="A5A5A5"/>
              <w:left w:val="single" w:sz="4" w:space="0" w:color="A5A5A5"/>
              <w:bottom w:val="single" w:sz="4" w:space="0" w:color="A5A5A5"/>
              <w:right w:val="single" w:sz="4" w:space="0" w:color="A5A5A5"/>
            </w:tcBorders>
            <w:shd w:val="clear" w:color="auto" w:fill="auto"/>
            <w:noWrap/>
          </w:tcPr>
          <w:p w14:paraId="71AE191E" w14:textId="68CFDC1A"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0,007</w:t>
            </w:r>
          </w:p>
        </w:tc>
        <w:tc>
          <w:tcPr>
            <w:tcW w:w="635" w:type="pct"/>
            <w:tcBorders>
              <w:top w:val="single" w:sz="4" w:space="0" w:color="A5A5A5"/>
              <w:left w:val="single" w:sz="4" w:space="0" w:color="A5A5A5"/>
              <w:bottom w:val="single" w:sz="4" w:space="0" w:color="A5A5A5"/>
              <w:right w:val="single" w:sz="4" w:space="0" w:color="A5A5A5"/>
            </w:tcBorders>
            <w:shd w:val="clear" w:color="auto" w:fill="auto"/>
            <w:noWrap/>
          </w:tcPr>
          <w:p w14:paraId="3F0677EE" w14:textId="093BCB5B"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0,004</w:t>
            </w:r>
          </w:p>
        </w:tc>
        <w:tc>
          <w:tcPr>
            <w:tcW w:w="678" w:type="pct"/>
            <w:tcBorders>
              <w:top w:val="single" w:sz="4" w:space="0" w:color="A5A5A5"/>
              <w:left w:val="single" w:sz="4" w:space="0" w:color="A5A5A5"/>
              <w:bottom w:val="single" w:sz="4" w:space="0" w:color="A5A5A5"/>
              <w:right w:val="single" w:sz="4" w:space="0" w:color="A5A5A5"/>
            </w:tcBorders>
            <w:shd w:val="clear" w:color="auto" w:fill="auto"/>
            <w:noWrap/>
          </w:tcPr>
          <w:p w14:paraId="7633ABD1" w14:textId="55F529D7" w:rsidR="00762396" w:rsidRPr="00057191" w:rsidRDefault="00762396" w:rsidP="00762396">
            <w:pPr>
              <w:spacing w:after="0"/>
              <w:contextualSpacing w:val="0"/>
              <w:jc w:val="right"/>
              <w:rPr>
                <w:rFonts w:eastAsia="Times New Roman" w:cs="Calibri"/>
                <w:color w:val="000000" w:themeColor="text1"/>
                <w:sz w:val="21"/>
                <w:szCs w:val="21"/>
                <w:lang w:eastAsia="es-MX"/>
              </w:rPr>
            </w:pPr>
            <w:r w:rsidRPr="0074012E">
              <w:t>0,000</w:t>
            </w:r>
          </w:p>
        </w:tc>
      </w:tr>
      <w:tr w:rsidR="00A3567C" w:rsidRPr="00103960" w14:paraId="019F6B21" w14:textId="77777777" w:rsidTr="0044676A">
        <w:trPr>
          <w:gridAfter w:val="1"/>
          <w:wAfter w:w="77" w:type="pct"/>
          <w:trHeight w:val="300"/>
        </w:trPr>
        <w:tc>
          <w:tcPr>
            <w:tcW w:w="4923" w:type="pct"/>
            <w:gridSpan w:val="6"/>
            <w:tcBorders>
              <w:top w:val="nil"/>
              <w:left w:val="nil"/>
              <w:bottom w:val="nil"/>
              <w:right w:val="nil"/>
            </w:tcBorders>
            <w:shd w:val="clear" w:color="000000" w:fill="FFFFFF"/>
            <w:noWrap/>
            <w:vAlign w:val="center"/>
            <w:hideMark/>
          </w:tcPr>
          <w:p w14:paraId="292EB8F8" w14:textId="77777777" w:rsidR="005A6D58" w:rsidRDefault="005A6D58" w:rsidP="00A3567C">
            <w:pPr>
              <w:spacing w:after="0"/>
              <w:contextualSpacing w:val="0"/>
              <w:rPr>
                <w:rFonts w:eastAsia="Times New Roman" w:cs="Calibri"/>
                <w:sz w:val="21"/>
                <w:szCs w:val="21"/>
                <w:lang w:eastAsia="es-CO"/>
              </w:rPr>
            </w:pPr>
          </w:p>
          <w:p w14:paraId="14A10DE9" w14:textId="33679E3F" w:rsidR="00A3567C" w:rsidRPr="00057191" w:rsidRDefault="00A3567C" w:rsidP="00A3567C">
            <w:pPr>
              <w:spacing w:after="0"/>
              <w:contextualSpacing w:val="0"/>
              <w:rPr>
                <w:rFonts w:eastAsia="Times New Roman" w:cs="Calibri"/>
                <w:color w:val="000000" w:themeColor="text1"/>
                <w:sz w:val="21"/>
                <w:szCs w:val="21"/>
                <w:lang w:eastAsia="es-MX"/>
              </w:rPr>
            </w:pPr>
            <w:r w:rsidRPr="004D785D">
              <w:rPr>
                <w:rFonts w:eastAsia="Times New Roman" w:cs="Calibri"/>
                <w:sz w:val="21"/>
                <w:szCs w:val="21"/>
                <w:lang w:eastAsia="es-CO"/>
              </w:rPr>
              <w:t xml:space="preserve">C.F. = Cargo fijo expresado en US $ de diciembre 31 de 2009 por </w:t>
            </w:r>
            <w:proofErr w:type="spellStart"/>
            <w:r w:rsidRPr="004D785D">
              <w:rPr>
                <w:rFonts w:eastAsia="Times New Roman" w:cs="Calibri"/>
                <w:sz w:val="21"/>
                <w:szCs w:val="21"/>
                <w:lang w:eastAsia="es-CO"/>
              </w:rPr>
              <w:t>kpcd</w:t>
            </w:r>
            <w:proofErr w:type="spellEnd"/>
            <w:r w:rsidRPr="004D785D">
              <w:rPr>
                <w:rFonts w:eastAsia="Times New Roman" w:cs="Calibri"/>
                <w:sz w:val="21"/>
                <w:szCs w:val="21"/>
                <w:lang w:eastAsia="es-CO"/>
              </w:rPr>
              <w:t xml:space="preserve">-año. </w:t>
            </w:r>
          </w:p>
        </w:tc>
      </w:tr>
      <w:tr w:rsidR="00A3567C" w:rsidRPr="00103960" w14:paraId="022E8977" w14:textId="77777777" w:rsidTr="0044676A">
        <w:trPr>
          <w:trHeight w:val="300"/>
        </w:trPr>
        <w:tc>
          <w:tcPr>
            <w:tcW w:w="4923" w:type="pct"/>
            <w:gridSpan w:val="6"/>
            <w:tcBorders>
              <w:top w:val="nil"/>
              <w:left w:val="nil"/>
              <w:bottom w:val="nil"/>
              <w:right w:val="nil"/>
            </w:tcBorders>
            <w:shd w:val="clear" w:color="000000" w:fill="FFFFFF"/>
            <w:noWrap/>
            <w:vAlign w:val="center"/>
            <w:hideMark/>
          </w:tcPr>
          <w:p w14:paraId="1987128A" w14:textId="292B942F" w:rsidR="00A3567C" w:rsidRPr="00057191" w:rsidRDefault="00A3567C" w:rsidP="00A3567C">
            <w:pPr>
              <w:spacing w:after="0"/>
              <w:contextualSpacing w:val="0"/>
              <w:rPr>
                <w:rFonts w:eastAsia="Times New Roman" w:cs="Calibri"/>
                <w:color w:val="000000" w:themeColor="text1"/>
                <w:sz w:val="21"/>
                <w:szCs w:val="21"/>
                <w:lang w:eastAsia="es-MX"/>
              </w:rPr>
            </w:pPr>
            <w:r w:rsidRPr="004D785D">
              <w:rPr>
                <w:rFonts w:eastAsia="Times New Roman" w:cs="Calibri"/>
                <w:sz w:val="21"/>
                <w:szCs w:val="21"/>
                <w:lang w:eastAsia="es-CO"/>
              </w:rPr>
              <w:t xml:space="preserve">C.V. = Cargo variable expresado en US $ de diciembre 31 de 2009 por </w:t>
            </w:r>
            <w:proofErr w:type="spellStart"/>
            <w:r w:rsidRPr="004D785D">
              <w:rPr>
                <w:rFonts w:eastAsia="Times New Roman" w:cs="Calibri"/>
                <w:sz w:val="21"/>
                <w:szCs w:val="21"/>
                <w:lang w:eastAsia="es-CO"/>
              </w:rPr>
              <w:t>kpc</w:t>
            </w:r>
            <w:proofErr w:type="spellEnd"/>
            <w:r w:rsidRPr="004D785D">
              <w:rPr>
                <w:rFonts w:eastAsia="Times New Roman" w:cs="Calibri"/>
                <w:sz w:val="21"/>
                <w:szCs w:val="21"/>
                <w:lang w:eastAsia="es-CO"/>
              </w:rPr>
              <w:t xml:space="preserve">. </w:t>
            </w:r>
          </w:p>
        </w:tc>
        <w:tc>
          <w:tcPr>
            <w:tcW w:w="77" w:type="pct"/>
            <w:vAlign w:val="center"/>
            <w:hideMark/>
          </w:tcPr>
          <w:p w14:paraId="6DDEF5DF" w14:textId="77777777" w:rsidR="00A3567C" w:rsidRPr="00057191" w:rsidRDefault="00A3567C" w:rsidP="00A3567C">
            <w:pPr>
              <w:spacing w:after="0"/>
              <w:contextualSpacing w:val="0"/>
              <w:rPr>
                <w:rFonts w:ascii="Times New Roman" w:eastAsia="Times New Roman" w:hAnsi="Times New Roman" w:cs="Times New Roman"/>
                <w:color w:val="000000" w:themeColor="text1"/>
                <w:sz w:val="21"/>
                <w:szCs w:val="21"/>
                <w:lang w:eastAsia="es-MX"/>
              </w:rPr>
            </w:pPr>
          </w:p>
        </w:tc>
      </w:tr>
      <w:tr w:rsidR="00A3567C" w:rsidRPr="00103960" w14:paraId="774AC938" w14:textId="77777777" w:rsidTr="0044676A">
        <w:trPr>
          <w:trHeight w:val="300"/>
        </w:trPr>
        <w:tc>
          <w:tcPr>
            <w:tcW w:w="4923" w:type="pct"/>
            <w:gridSpan w:val="6"/>
            <w:tcBorders>
              <w:top w:val="nil"/>
              <w:left w:val="nil"/>
              <w:bottom w:val="nil"/>
              <w:right w:val="nil"/>
            </w:tcBorders>
            <w:shd w:val="clear" w:color="000000" w:fill="FFFFFF"/>
            <w:noWrap/>
            <w:vAlign w:val="center"/>
            <w:hideMark/>
          </w:tcPr>
          <w:p w14:paraId="4E5C45D7" w14:textId="4D72B092" w:rsidR="00A3567C" w:rsidRPr="00057191" w:rsidRDefault="00A3567C" w:rsidP="00A3567C">
            <w:pPr>
              <w:spacing w:after="0"/>
              <w:contextualSpacing w:val="0"/>
              <w:rPr>
                <w:rFonts w:eastAsia="Times New Roman" w:cs="Calibri"/>
                <w:color w:val="000000" w:themeColor="text1"/>
                <w:sz w:val="21"/>
                <w:szCs w:val="21"/>
                <w:lang w:eastAsia="es-MX"/>
              </w:rPr>
            </w:pPr>
            <w:r w:rsidRPr="004D785D">
              <w:rPr>
                <w:rFonts w:eastAsia="Times New Roman" w:cs="Calibri"/>
                <w:sz w:val="21"/>
                <w:szCs w:val="21"/>
                <w:lang w:eastAsia="es-CO"/>
              </w:rPr>
              <w:t>[1] Porcentaje de la inversión remunerada con cargo fijo.</w:t>
            </w:r>
          </w:p>
        </w:tc>
        <w:tc>
          <w:tcPr>
            <w:tcW w:w="77" w:type="pct"/>
            <w:vAlign w:val="center"/>
            <w:hideMark/>
          </w:tcPr>
          <w:p w14:paraId="44F01802" w14:textId="77777777" w:rsidR="00A3567C" w:rsidRPr="00057191" w:rsidRDefault="00A3567C" w:rsidP="00A3567C">
            <w:pPr>
              <w:spacing w:after="0"/>
              <w:contextualSpacing w:val="0"/>
              <w:rPr>
                <w:rFonts w:ascii="Times New Roman" w:eastAsia="Times New Roman" w:hAnsi="Times New Roman" w:cs="Times New Roman"/>
                <w:color w:val="000000" w:themeColor="text1"/>
                <w:sz w:val="21"/>
                <w:szCs w:val="21"/>
                <w:lang w:eastAsia="es-MX"/>
              </w:rPr>
            </w:pPr>
          </w:p>
        </w:tc>
      </w:tr>
      <w:tr w:rsidR="00A3567C" w:rsidRPr="00103960" w14:paraId="5C8EB503" w14:textId="77777777" w:rsidTr="0044676A">
        <w:trPr>
          <w:trHeight w:val="300"/>
        </w:trPr>
        <w:tc>
          <w:tcPr>
            <w:tcW w:w="4923" w:type="pct"/>
            <w:gridSpan w:val="6"/>
            <w:tcBorders>
              <w:top w:val="nil"/>
              <w:left w:val="nil"/>
              <w:bottom w:val="nil"/>
              <w:right w:val="nil"/>
            </w:tcBorders>
            <w:shd w:val="clear" w:color="000000" w:fill="FFFFFF"/>
            <w:noWrap/>
            <w:vAlign w:val="center"/>
            <w:hideMark/>
          </w:tcPr>
          <w:p w14:paraId="0B1672C4" w14:textId="6C0D8CC2" w:rsidR="00A3567C" w:rsidRPr="00057191" w:rsidRDefault="00A3567C" w:rsidP="00A3567C">
            <w:pPr>
              <w:spacing w:after="0"/>
              <w:contextualSpacing w:val="0"/>
              <w:rPr>
                <w:rFonts w:eastAsia="Times New Roman" w:cs="Calibri"/>
                <w:color w:val="000000" w:themeColor="text1"/>
                <w:sz w:val="21"/>
                <w:szCs w:val="21"/>
                <w:lang w:eastAsia="es-MX"/>
              </w:rPr>
            </w:pPr>
            <w:r w:rsidRPr="004D785D">
              <w:rPr>
                <w:rFonts w:eastAsia="Times New Roman" w:cs="Calibri"/>
                <w:sz w:val="21"/>
                <w:szCs w:val="21"/>
                <w:lang w:eastAsia="es-CO"/>
              </w:rPr>
              <w:t>[2] Incluye ramales Sur de Bolívar.</w:t>
            </w:r>
          </w:p>
        </w:tc>
        <w:tc>
          <w:tcPr>
            <w:tcW w:w="77" w:type="pct"/>
            <w:vAlign w:val="center"/>
            <w:hideMark/>
          </w:tcPr>
          <w:p w14:paraId="773D81C5" w14:textId="77777777" w:rsidR="00A3567C" w:rsidRPr="00057191" w:rsidRDefault="00A3567C" w:rsidP="00A3567C">
            <w:pPr>
              <w:spacing w:after="0"/>
              <w:contextualSpacing w:val="0"/>
              <w:rPr>
                <w:rFonts w:ascii="Times New Roman" w:eastAsia="Times New Roman" w:hAnsi="Times New Roman" w:cs="Times New Roman"/>
                <w:color w:val="000000" w:themeColor="text1"/>
                <w:sz w:val="21"/>
                <w:szCs w:val="21"/>
                <w:lang w:eastAsia="es-MX"/>
              </w:rPr>
            </w:pPr>
          </w:p>
        </w:tc>
      </w:tr>
    </w:tbl>
    <w:p w14:paraId="5B8229C7" w14:textId="77777777" w:rsidR="00626002" w:rsidRDefault="00626002" w:rsidP="00701978">
      <w:pPr>
        <w:ind w:left="-142"/>
      </w:pPr>
    </w:p>
    <w:p w14:paraId="45EA02A3" w14:textId="77777777" w:rsidR="005A6D58" w:rsidRDefault="005A6D58" w:rsidP="00E015AF">
      <w:pPr>
        <w:ind w:left="284"/>
        <w:rPr>
          <w:b/>
          <w:sz w:val="22"/>
        </w:rPr>
      </w:pPr>
    </w:p>
    <w:p w14:paraId="24DECA43" w14:textId="6A407589" w:rsidR="00E015AF" w:rsidRDefault="00E015AF" w:rsidP="00E015AF">
      <w:pPr>
        <w:ind w:left="284"/>
        <w:rPr>
          <w:sz w:val="22"/>
        </w:rPr>
      </w:pPr>
      <w:r w:rsidRPr="006114D0">
        <w:rPr>
          <w:b/>
          <w:sz w:val="22"/>
        </w:rPr>
        <w:t>Parágrafo.</w:t>
      </w:r>
      <w:r w:rsidRPr="006114D0">
        <w:rPr>
          <w:sz w:val="22"/>
        </w:rPr>
        <w:t xml:space="preserve"> Para establecer los cargos fijos y variables aplicables en un punto determinado, se suman los cargos fijos y variables por distancia de cada tramo con la </w:t>
      </w:r>
      <w:r w:rsidRPr="00F45EB7">
        <w:rPr>
          <w:sz w:val="22"/>
        </w:rPr>
        <w:t>pareja</w:t>
      </w:r>
      <w:r w:rsidRPr="006114D0">
        <w:rPr>
          <w:sz w:val="22"/>
        </w:rPr>
        <w:t xml:space="preserve"> de cargos fijos y variables por estampilla establecidos para el grupo de gasoductos </w:t>
      </w:r>
      <w:r w:rsidRPr="00CA5FFD">
        <w:rPr>
          <w:sz w:val="22"/>
        </w:rPr>
        <w:t>ramales.</w:t>
      </w:r>
      <w:r w:rsidRPr="00CA5FFD">
        <w:t xml:space="preserve"> </w:t>
      </w:r>
      <w:r w:rsidRPr="00CA5FFD">
        <w:rPr>
          <w:sz w:val="22"/>
        </w:rPr>
        <w:t xml:space="preserve">Para el gasoducto Morichal – Yopal no se suman los cargos </w:t>
      </w:r>
      <w:r w:rsidRPr="007E50F1">
        <w:rPr>
          <w:sz w:val="22"/>
        </w:rPr>
        <w:t>fijos y variables por estampilla”.</w:t>
      </w:r>
    </w:p>
    <w:p w14:paraId="284D7142" w14:textId="77777777" w:rsidR="005A6D58" w:rsidRPr="007E50F1" w:rsidRDefault="005A6D58" w:rsidP="00E015AF">
      <w:pPr>
        <w:ind w:left="284"/>
        <w:rPr>
          <w:sz w:val="22"/>
        </w:rPr>
      </w:pPr>
    </w:p>
    <w:bookmarkEnd w:id="5"/>
    <w:p w14:paraId="5413D4AF" w14:textId="6B3CA083" w:rsidR="008F36F6" w:rsidRPr="00045C90" w:rsidRDefault="008F36F6" w:rsidP="00E015AF">
      <w:pPr>
        <w:pStyle w:val="ARTICULOS"/>
        <w:tabs>
          <w:tab w:val="left" w:pos="709"/>
          <w:tab w:val="left" w:pos="1701"/>
          <w:tab w:val="right" w:leader="dot" w:pos="9356"/>
        </w:tabs>
        <w:spacing w:before="240"/>
        <w:ind w:firstLine="0"/>
        <w:contextualSpacing w:val="0"/>
      </w:pPr>
      <w:r w:rsidRPr="007E50F1">
        <w:rPr>
          <w:lang w:val="es-CO"/>
        </w:rPr>
        <w:t>Rechazar por imp</w:t>
      </w:r>
      <w:r w:rsidR="002F12E6" w:rsidRPr="007E50F1">
        <w:rPr>
          <w:lang w:val="es-CO"/>
        </w:rPr>
        <w:t>ertinente la</w:t>
      </w:r>
      <w:r w:rsidR="00163FDA">
        <w:rPr>
          <w:lang w:val="es-CO"/>
        </w:rPr>
        <w:t xml:space="preserve"> práctica de las </w:t>
      </w:r>
      <w:r w:rsidR="002F12E6" w:rsidRPr="007E50F1">
        <w:rPr>
          <w:lang w:val="es-CO"/>
        </w:rPr>
        <w:t xml:space="preserve">pruebas solicitadas por la empresa </w:t>
      </w:r>
      <w:proofErr w:type="spellStart"/>
      <w:r w:rsidR="002F12E6" w:rsidRPr="007E50F1">
        <w:rPr>
          <w:lang w:val="es-CO"/>
        </w:rPr>
        <w:t>Vanti</w:t>
      </w:r>
      <w:proofErr w:type="spellEnd"/>
      <w:r w:rsidR="002F12E6" w:rsidRPr="007E50F1">
        <w:rPr>
          <w:lang w:val="es-CO"/>
        </w:rPr>
        <w:t xml:space="preserve"> S.A. E.S.P. </w:t>
      </w:r>
      <w:r w:rsidR="00DF00A9" w:rsidRPr="007E50F1">
        <w:rPr>
          <w:lang w:val="es-CO"/>
        </w:rPr>
        <w:t>en su recurso de reposición</w:t>
      </w:r>
      <w:r w:rsidR="005C72C6">
        <w:rPr>
          <w:lang w:val="es-CO"/>
        </w:rPr>
        <w:t>,</w:t>
      </w:r>
      <w:r w:rsidR="00DF00A9" w:rsidRPr="007E50F1">
        <w:rPr>
          <w:lang w:val="es-CO"/>
        </w:rPr>
        <w:t xml:space="preserve"> </w:t>
      </w:r>
      <w:r w:rsidR="00EE65B6">
        <w:rPr>
          <w:lang w:val="es-CO"/>
        </w:rPr>
        <w:t xml:space="preserve">con base en </w:t>
      </w:r>
      <w:r w:rsidR="00DF00A9" w:rsidRPr="007E50F1">
        <w:rPr>
          <w:lang w:val="es-CO"/>
        </w:rPr>
        <w:t xml:space="preserve">las </w:t>
      </w:r>
      <w:r w:rsidR="00DF00A9" w:rsidRPr="007E50F1">
        <w:rPr>
          <w:lang w:val="es-CO"/>
        </w:rPr>
        <w:lastRenderedPageBreak/>
        <w:t>consideraciones expuestas en la parte motiva del presente acto.</w:t>
      </w:r>
    </w:p>
    <w:p w14:paraId="0F6803A6" w14:textId="4B8EDCE2" w:rsidR="00045C90" w:rsidRPr="007E50F1" w:rsidRDefault="00045C90" w:rsidP="00E015AF">
      <w:pPr>
        <w:pStyle w:val="ARTICULOS"/>
        <w:tabs>
          <w:tab w:val="left" w:pos="709"/>
          <w:tab w:val="left" w:pos="1701"/>
          <w:tab w:val="right" w:leader="dot" w:pos="9356"/>
        </w:tabs>
        <w:spacing w:before="240"/>
        <w:ind w:firstLine="0"/>
        <w:contextualSpacing w:val="0"/>
      </w:pPr>
      <w:r>
        <w:rPr>
          <w:lang w:val="es-CO"/>
        </w:rPr>
        <w:t>Negar las demás pretensiones de los recurrentes.</w:t>
      </w:r>
    </w:p>
    <w:p w14:paraId="781814BF" w14:textId="1A5F4279" w:rsidR="00E015AF" w:rsidRPr="007E50F1" w:rsidRDefault="00E015AF" w:rsidP="00E015AF">
      <w:pPr>
        <w:pStyle w:val="ARTICULOS"/>
        <w:tabs>
          <w:tab w:val="left" w:pos="709"/>
          <w:tab w:val="left" w:pos="1701"/>
          <w:tab w:val="right" w:leader="dot" w:pos="9356"/>
        </w:tabs>
        <w:spacing w:before="240"/>
        <w:ind w:firstLine="0"/>
        <w:contextualSpacing w:val="0"/>
      </w:pPr>
      <w:r w:rsidRPr="007E50F1">
        <w:t>Notificar a la empresa TGI S.A. E.S.P.</w:t>
      </w:r>
      <w:r w:rsidR="009B6E31" w:rsidRPr="007E50F1">
        <w:rPr>
          <w:lang w:val="es-CO"/>
        </w:rPr>
        <w:t xml:space="preserve"> y </w:t>
      </w:r>
      <w:proofErr w:type="spellStart"/>
      <w:r w:rsidR="009B6E31" w:rsidRPr="007E50F1">
        <w:rPr>
          <w:lang w:val="es-CO"/>
        </w:rPr>
        <w:t>Vanti</w:t>
      </w:r>
      <w:proofErr w:type="spellEnd"/>
      <w:r w:rsidR="009B6E31" w:rsidRPr="007E50F1">
        <w:rPr>
          <w:lang w:val="es-CO"/>
        </w:rPr>
        <w:t xml:space="preserve"> S.A. E.S.P.</w:t>
      </w:r>
      <w:r w:rsidRPr="007E50F1">
        <w:t xml:space="preserve"> el contenido de esta Resolución y publicarla en el </w:t>
      </w:r>
      <w:r w:rsidRPr="007E50F1">
        <w:rPr>
          <w:i/>
        </w:rPr>
        <w:t>Diario Oficial</w:t>
      </w:r>
      <w:r w:rsidRPr="007E50F1">
        <w:t xml:space="preserve">. </w:t>
      </w:r>
      <w:r w:rsidR="00F35420" w:rsidRPr="007E50F1">
        <w:t>Contra lo dispuesto en este acto no procede recurso alguno, toda vez que se entienden agotados todos los recursos que por ley son obligatorios</w:t>
      </w:r>
      <w:r w:rsidR="0058539E" w:rsidRPr="007E50F1">
        <w:rPr>
          <w:lang w:val="es-CO"/>
        </w:rPr>
        <w:t>.</w:t>
      </w:r>
      <w:r w:rsidRPr="007E50F1">
        <w:t xml:space="preserve"> </w:t>
      </w:r>
    </w:p>
    <w:p w14:paraId="4EE0E9E2" w14:textId="77777777" w:rsidR="00E015AF" w:rsidRDefault="00E015AF" w:rsidP="00AD2F7A"/>
    <w:p w14:paraId="4816305B" w14:textId="77777777" w:rsidR="00D42104" w:rsidRPr="007E50F1" w:rsidRDefault="00D42104" w:rsidP="00AD2F7A"/>
    <w:p w14:paraId="3EB85F99" w14:textId="77777777" w:rsidR="0075288F" w:rsidRPr="00477761" w:rsidRDefault="0075288F" w:rsidP="0075288F">
      <w:pPr>
        <w:spacing w:after="0"/>
        <w:jc w:val="center"/>
        <w:rPr>
          <w:rFonts w:eastAsia="Times New Roman" w:cs="Arial"/>
          <w:b/>
          <w:szCs w:val="24"/>
          <w:lang w:val="es-ES" w:eastAsia="es-ES"/>
        </w:rPr>
      </w:pPr>
      <w:r w:rsidRPr="00477761">
        <w:rPr>
          <w:rFonts w:eastAsia="Times New Roman" w:cs="Arial"/>
          <w:b/>
          <w:szCs w:val="24"/>
          <w:lang w:val="es-ES" w:eastAsia="es-ES"/>
        </w:rPr>
        <w:t>NOTIFÍQUESE, PUBLÍQUESE Y CÚMPLASE,</w:t>
      </w:r>
    </w:p>
    <w:p w14:paraId="4238507E" w14:textId="77777777" w:rsidR="0075288F" w:rsidRPr="00477761" w:rsidRDefault="0075288F" w:rsidP="0075288F">
      <w:pPr>
        <w:spacing w:after="0"/>
        <w:rPr>
          <w:rFonts w:eastAsia="Times New Roman" w:cs="Times New Roman"/>
          <w:szCs w:val="24"/>
          <w:lang w:val="es-ES" w:eastAsia="es-ES"/>
        </w:rPr>
      </w:pPr>
    </w:p>
    <w:p w14:paraId="2E5116DF" w14:textId="77777777" w:rsidR="00D42104" w:rsidRDefault="00D42104" w:rsidP="0075288F">
      <w:pPr>
        <w:spacing w:after="0"/>
        <w:rPr>
          <w:rFonts w:eastAsia="Times New Roman" w:cs="Times New Roman"/>
          <w:szCs w:val="24"/>
          <w:lang w:val="es-ES" w:eastAsia="es-ES"/>
        </w:rPr>
      </w:pPr>
    </w:p>
    <w:p w14:paraId="0574B86F" w14:textId="1649F538" w:rsidR="0075288F" w:rsidRPr="00477761" w:rsidRDefault="0075288F" w:rsidP="0075288F">
      <w:pPr>
        <w:spacing w:after="0"/>
        <w:rPr>
          <w:rFonts w:eastAsia="Times New Roman" w:cs="Times New Roman"/>
          <w:szCs w:val="24"/>
          <w:lang w:val="es-ES" w:eastAsia="es-ES"/>
        </w:rPr>
      </w:pPr>
      <w:r w:rsidRPr="00477761">
        <w:rPr>
          <w:rFonts w:eastAsia="Times New Roman" w:cs="Times New Roman"/>
          <w:szCs w:val="24"/>
          <w:lang w:val="es-ES" w:eastAsia="es-ES"/>
        </w:rPr>
        <w:t xml:space="preserve">Dada en Bogotá D.C. </w:t>
      </w:r>
      <w:r w:rsidR="00D512C1">
        <w:rPr>
          <w:rFonts w:eastAsia="Times New Roman" w:cs="Times New Roman"/>
          <w:szCs w:val="24"/>
          <w:lang w:val="es-ES" w:eastAsia="es-ES"/>
        </w:rPr>
        <w:t xml:space="preserve">el </w:t>
      </w:r>
      <w:r w:rsidR="00477761" w:rsidRPr="00477761">
        <w:rPr>
          <w:rFonts w:eastAsia="Times New Roman" w:cs="Times New Roman"/>
          <w:szCs w:val="24"/>
          <w:lang w:val="es-ES" w:eastAsia="es-ES"/>
        </w:rPr>
        <w:t>2</w:t>
      </w:r>
      <w:r w:rsidR="003C5E39">
        <w:rPr>
          <w:rFonts w:eastAsia="Times New Roman" w:cs="Times New Roman"/>
          <w:szCs w:val="24"/>
          <w:lang w:val="es-ES" w:eastAsia="es-ES"/>
        </w:rPr>
        <w:t xml:space="preserve">1 de </w:t>
      </w:r>
      <w:r w:rsidR="00477761" w:rsidRPr="00477761">
        <w:rPr>
          <w:rFonts w:eastAsia="Times New Roman" w:cs="Times New Roman"/>
          <w:szCs w:val="24"/>
          <w:lang w:val="es-ES" w:eastAsia="es-ES"/>
        </w:rPr>
        <w:t>diciembre</w:t>
      </w:r>
      <w:r w:rsidR="007B3C4F" w:rsidRPr="00477761">
        <w:rPr>
          <w:rFonts w:eastAsia="Times New Roman" w:cs="Times New Roman"/>
          <w:szCs w:val="24"/>
          <w:lang w:val="es-ES" w:eastAsia="es-ES"/>
        </w:rPr>
        <w:t xml:space="preserve"> </w:t>
      </w:r>
      <w:r w:rsidR="003C5E39">
        <w:rPr>
          <w:rFonts w:eastAsia="Times New Roman" w:cs="Times New Roman"/>
          <w:szCs w:val="24"/>
          <w:lang w:val="es-ES" w:eastAsia="es-ES"/>
        </w:rPr>
        <w:t xml:space="preserve">de </w:t>
      </w:r>
      <w:r w:rsidR="007B3C4F" w:rsidRPr="00477761">
        <w:rPr>
          <w:rFonts w:eastAsia="Times New Roman" w:cs="Times New Roman"/>
          <w:szCs w:val="24"/>
          <w:lang w:val="es-ES" w:eastAsia="es-ES"/>
        </w:rPr>
        <w:t>202</w:t>
      </w:r>
      <w:r w:rsidR="003764DC" w:rsidRPr="00477761">
        <w:rPr>
          <w:rFonts w:eastAsia="Times New Roman" w:cs="Times New Roman"/>
          <w:szCs w:val="24"/>
          <w:lang w:val="es-ES" w:eastAsia="es-ES"/>
        </w:rPr>
        <w:t>2</w:t>
      </w:r>
      <w:r w:rsidR="00D512C1">
        <w:rPr>
          <w:rFonts w:eastAsia="Times New Roman" w:cs="Times New Roman"/>
          <w:szCs w:val="24"/>
          <w:lang w:val="es-ES" w:eastAsia="es-ES"/>
        </w:rPr>
        <w:t>.</w:t>
      </w:r>
    </w:p>
    <w:p w14:paraId="69D438D0" w14:textId="77777777" w:rsidR="0075288F" w:rsidRPr="00477761" w:rsidRDefault="0075288F" w:rsidP="0075288F">
      <w:pPr>
        <w:spacing w:after="0"/>
        <w:rPr>
          <w:rFonts w:eastAsia="Times New Roman" w:cs="Times New Roman"/>
          <w:szCs w:val="24"/>
          <w:lang w:val="es-ES" w:eastAsia="es-ES"/>
        </w:rPr>
      </w:pPr>
    </w:p>
    <w:p w14:paraId="0D947023" w14:textId="77777777" w:rsidR="0075288F" w:rsidRPr="00477761" w:rsidRDefault="0075288F" w:rsidP="0075288F">
      <w:pPr>
        <w:spacing w:after="0"/>
        <w:rPr>
          <w:rFonts w:eastAsia="Times New Roman" w:cs="Times New Roman"/>
          <w:sz w:val="20"/>
          <w:szCs w:val="24"/>
          <w:lang w:val="es-ES" w:eastAsia="es-ES"/>
        </w:rPr>
      </w:pPr>
    </w:p>
    <w:p w14:paraId="129EA9C3" w14:textId="77777777" w:rsidR="00C21F95" w:rsidRPr="00C45C67" w:rsidRDefault="00C21F95" w:rsidP="0075288F">
      <w:pPr>
        <w:spacing w:after="0"/>
        <w:rPr>
          <w:rFonts w:eastAsia="Times New Roman" w:cs="Times New Roman"/>
          <w:sz w:val="20"/>
          <w:szCs w:val="24"/>
          <w:lang w:val="es-ES" w:eastAsia="es-ES"/>
        </w:rPr>
      </w:pPr>
    </w:p>
    <w:p w14:paraId="6BE35669" w14:textId="77777777" w:rsidR="0075288F" w:rsidRPr="00C45C67" w:rsidRDefault="0075288F" w:rsidP="0075288F">
      <w:pPr>
        <w:spacing w:after="0"/>
        <w:rPr>
          <w:rFonts w:eastAsia="Times New Roman" w:cs="Times New Roman"/>
          <w:szCs w:val="24"/>
          <w:lang w:val="es-ES" w:eastAsia="es-ES"/>
        </w:rPr>
      </w:pPr>
    </w:p>
    <w:p w14:paraId="0B76D94F" w14:textId="77777777" w:rsidR="0075288F" w:rsidRPr="00C45C67" w:rsidRDefault="0075288F" w:rsidP="0075288F">
      <w:pPr>
        <w:spacing w:after="0"/>
        <w:rPr>
          <w:rFonts w:eastAsia="Times New Roman" w:cs="Times New Roman"/>
          <w:szCs w:val="24"/>
          <w:lang w:val="es-ES" w:eastAsia="es-ES"/>
        </w:rPr>
      </w:pPr>
    </w:p>
    <w:tbl>
      <w:tblPr>
        <w:tblW w:w="9498" w:type="dxa"/>
        <w:jc w:val="center"/>
        <w:tblLayout w:type="fixed"/>
        <w:tblCellMar>
          <w:left w:w="70" w:type="dxa"/>
          <w:right w:w="70" w:type="dxa"/>
        </w:tblCellMar>
        <w:tblLook w:val="0000" w:firstRow="0" w:lastRow="0" w:firstColumn="0" w:lastColumn="0" w:noHBand="0" w:noVBand="0"/>
      </w:tblPr>
      <w:tblGrid>
        <w:gridCol w:w="4536"/>
        <w:gridCol w:w="4962"/>
      </w:tblGrid>
      <w:tr w:rsidR="00A67F1D" w:rsidRPr="00554081" w14:paraId="7C244CA2" w14:textId="77777777" w:rsidTr="007B3C4F">
        <w:trPr>
          <w:trHeight w:val="864"/>
          <w:jc w:val="center"/>
        </w:trPr>
        <w:tc>
          <w:tcPr>
            <w:tcW w:w="4536" w:type="dxa"/>
          </w:tcPr>
          <w:p w14:paraId="697B532F" w14:textId="2CD3DFD7" w:rsidR="00A67F1D" w:rsidRPr="00C45C67" w:rsidRDefault="00FD2562" w:rsidP="00A67F1D">
            <w:pPr>
              <w:tabs>
                <w:tab w:val="left" w:pos="-720"/>
              </w:tabs>
              <w:suppressAutoHyphens/>
              <w:spacing w:after="0"/>
              <w:jc w:val="center"/>
              <w:rPr>
                <w:rFonts w:eastAsia="Times New Roman" w:cs="Arial"/>
                <w:b/>
                <w:spacing w:val="-3"/>
                <w:szCs w:val="24"/>
                <w:lang w:val="es-ES" w:eastAsia="es-ES"/>
              </w:rPr>
            </w:pPr>
            <w:r w:rsidRPr="00FD2562">
              <w:rPr>
                <w:rFonts w:eastAsia="Times New Roman" w:cs="Arial"/>
                <w:b/>
                <w:spacing w:val="-3"/>
                <w:szCs w:val="24"/>
                <w:lang w:val="es-ES" w:eastAsia="es-ES"/>
              </w:rPr>
              <w:t>IRENE VÉLEZ TORRES</w:t>
            </w:r>
          </w:p>
          <w:p w14:paraId="3B3327B6" w14:textId="5793279C" w:rsidR="00A67F1D" w:rsidRPr="00C45C67" w:rsidRDefault="00477761" w:rsidP="00A67F1D">
            <w:pPr>
              <w:tabs>
                <w:tab w:val="left" w:pos="-720"/>
              </w:tabs>
              <w:suppressAutoHyphens/>
              <w:spacing w:after="0"/>
              <w:jc w:val="center"/>
              <w:rPr>
                <w:rFonts w:eastAsia="Times New Roman" w:cs="Times New Roman"/>
                <w:szCs w:val="24"/>
                <w:lang w:val="es-ES" w:eastAsia="es-ES"/>
              </w:rPr>
            </w:pPr>
            <w:r>
              <w:rPr>
                <w:rFonts w:eastAsia="Times New Roman" w:cs="Times New Roman"/>
                <w:szCs w:val="24"/>
                <w:lang w:val="es-ES" w:eastAsia="es-ES"/>
              </w:rPr>
              <w:t>M</w:t>
            </w:r>
            <w:r w:rsidR="00A67F1D" w:rsidRPr="00C45C67">
              <w:rPr>
                <w:rFonts w:eastAsia="Times New Roman" w:cs="Times New Roman"/>
                <w:szCs w:val="24"/>
                <w:lang w:val="es-ES" w:eastAsia="es-ES"/>
              </w:rPr>
              <w:t>inistr</w:t>
            </w:r>
            <w:r w:rsidR="00C80370">
              <w:rPr>
                <w:rFonts w:eastAsia="Times New Roman" w:cs="Times New Roman"/>
                <w:szCs w:val="24"/>
                <w:lang w:val="es-ES" w:eastAsia="es-ES"/>
              </w:rPr>
              <w:t>a</w:t>
            </w:r>
            <w:r w:rsidR="00120817" w:rsidRPr="00C45C67">
              <w:rPr>
                <w:rFonts w:eastAsia="Times New Roman" w:cs="Times New Roman"/>
                <w:szCs w:val="24"/>
                <w:lang w:val="es-ES" w:eastAsia="es-ES"/>
              </w:rPr>
              <w:t xml:space="preserve"> de Minas y Energía</w:t>
            </w:r>
          </w:p>
          <w:p w14:paraId="348751B3" w14:textId="77777777" w:rsidR="00A67F1D" w:rsidRPr="00C45C67" w:rsidRDefault="00A67F1D" w:rsidP="00A67F1D">
            <w:pPr>
              <w:tabs>
                <w:tab w:val="left" w:pos="-720"/>
              </w:tabs>
              <w:suppressAutoHyphens/>
              <w:spacing w:after="0"/>
              <w:jc w:val="center"/>
              <w:rPr>
                <w:rFonts w:eastAsia="Times New Roman" w:cs="Arial"/>
                <w:b/>
                <w:strike/>
                <w:spacing w:val="-3"/>
                <w:szCs w:val="24"/>
                <w:lang w:val="es-ES" w:eastAsia="es-ES"/>
              </w:rPr>
            </w:pPr>
            <w:r w:rsidRPr="00C45C67">
              <w:rPr>
                <w:rFonts w:ascii="Times New Roman" w:eastAsia="Times New Roman" w:hAnsi="Times New Roman" w:cs="Times New Roman"/>
                <w:szCs w:val="24"/>
                <w:lang w:val="es-ES" w:eastAsia="es-ES"/>
              </w:rPr>
              <w:t xml:space="preserve"> </w:t>
            </w:r>
            <w:r w:rsidRPr="00C45C67">
              <w:rPr>
                <w:rFonts w:eastAsia="Times New Roman" w:cs="Times New Roman"/>
                <w:szCs w:val="24"/>
                <w:lang w:val="es-ES" w:eastAsia="es-ES"/>
              </w:rPr>
              <w:t>Presidente</w:t>
            </w:r>
          </w:p>
        </w:tc>
        <w:tc>
          <w:tcPr>
            <w:tcW w:w="4962" w:type="dxa"/>
          </w:tcPr>
          <w:p w14:paraId="46561F09" w14:textId="7B19EB0F" w:rsidR="00A67F1D" w:rsidRPr="00C45C67" w:rsidRDefault="009D4EBC" w:rsidP="00A67F1D">
            <w:pPr>
              <w:tabs>
                <w:tab w:val="left" w:pos="-720"/>
              </w:tabs>
              <w:suppressAutoHyphens/>
              <w:spacing w:after="0"/>
              <w:jc w:val="center"/>
              <w:rPr>
                <w:rFonts w:eastAsia="Times New Roman" w:cs="Arial"/>
                <w:b/>
                <w:szCs w:val="24"/>
                <w:lang w:val="es-ES" w:eastAsia="es-ES"/>
              </w:rPr>
            </w:pPr>
            <w:r w:rsidRPr="009D4EBC">
              <w:rPr>
                <w:rFonts w:eastAsia="Times New Roman" w:cs="Arial"/>
                <w:b/>
                <w:szCs w:val="24"/>
                <w:lang w:val="es-ES" w:eastAsia="es-ES"/>
              </w:rPr>
              <w:t>JOSÉ FERNANDO PRADA</w:t>
            </w:r>
            <w:r w:rsidR="005C72C6">
              <w:rPr>
                <w:rFonts w:eastAsia="Times New Roman" w:cs="Arial"/>
                <w:b/>
                <w:szCs w:val="24"/>
                <w:lang w:val="es-ES" w:eastAsia="es-ES"/>
              </w:rPr>
              <w:t xml:space="preserve"> RÍOS</w:t>
            </w:r>
          </w:p>
          <w:p w14:paraId="70F18265" w14:textId="77777777" w:rsidR="00A67F1D" w:rsidRPr="00C45C67" w:rsidRDefault="00A67F1D" w:rsidP="00A67F1D">
            <w:pPr>
              <w:tabs>
                <w:tab w:val="left" w:pos="-720"/>
              </w:tabs>
              <w:suppressAutoHyphens/>
              <w:spacing w:after="0"/>
              <w:jc w:val="center"/>
              <w:rPr>
                <w:rFonts w:eastAsia="Times New Roman" w:cs="Arial"/>
                <w:b/>
                <w:spacing w:val="-3"/>
                <w:szCs w:val="24"/>
                <w:lang w:val="es-ES" w:eastAsia="es-ES"/>
              </w:rPr>
            </w:pPr>
            <w:r w:rsidRPr="00C45C67">
              <w:rPr>
                <w:rFonts w:eastAsia="Times New Roman" w:cs="Arial"/>
                <w:spacing w:val="-3"/>
                <w:szCs w:val="24"/>
                <w:lang w:val="es-ES" w:eastAsia="es-ES"/>
              </w:rPr>
              <w:t>Director Ejecutivo</w:t>
            </w:r>
          </w:p>
        </w:tc>
      </w:tr>
    </w:tbl>
    <w:p w14:paraId="179CCB14" w14:textId="77777777" w:rsidR="0075288F" w:rsidRPr="00554081" w:rsidRDefault="0075288F" w:rsidP="0075288F">
      <w:pPr>
        <w:spacing w:after="0"/>
        <w:rPr>
          <w:rFonts w:eastAsia="Times New Roman" w:cs="Times New Roman"/>
          <w:szCs w:val="24"/>
          <w:highlight w:val="yellow"/>
          <w:lang w:val="es-ES" w:eastAsia="es-ES"/>
        </w:rPr>
      </w:pPr>
    </w:p>
    <w:p w14:paraId="75278B37" w14:textId="77777777" w:rsidR="0075288F" w:rsidRPr="00554081" w:rsidRDefault="0075288F" w:rsidP="0075288F">
      <w:pPr>
        <w:widowControl w:val="0"/>
        <w:spacing w:after="0"/>
        <w:rPr>
          <w:rFonts w:eastAsia="Times New Roman" w:cs="Times New Roman"/>
          <w:szCs w:val="24"/>
          <w:highlight w:val="yellow"/>
          <w:lang w:val="es-ES" w:eastAsia="es-ES"/>
        </w:rPr>
      </w:pPr>
    </w:p>
    <w:p w14:paraId="75076EDB" w14:textId="5EBFBD51" w:rsidR="0075288F" w:rsidRPr="00762396" w:rsidRDefault="0075288F" w:rsidP="00762396">
      <w:pPr>
        <w:widowControl w:val="0"/>
        <w:spacing w:after="0"/>
        <w:rPr>
          <w:rFonts w:eastAsia="Times New Roman" w:cs="Times New Roman"/>
          <w:szCs w:val="24"/>
          <w:highlight w:val="yellow"/>
          <w:lang w:val="es-ES" w:eastAsia="es-ES"/>
        </w:rPr>
      </w:pPr>
    </w:p>
    <w:sectPr w:rsidR="0075288F" w:rsidRPr="00762396" w:rsidSect="005C1BCA">
      <w:headerReference w:type="default" r:id="rId31"/>
      <w:headerReference w:type="first" r:id="rId32"/>
      <w:pgSz w:w="12242" w:h="18722" w:code="123"/>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EA99" w14:textId="77777777" w:rsidR="00D33311" w:rsidRDefault="00D33311" w:rsidP="005C1BCA">
      <w:pPr>
        <w:spacing w:after="0"/>
      </w:pPr>
      <w:r>
        <w:separator/>
      </w:r>
    </w:p>
  </w:endnote>
  <w:endnote w:type="continuationSeparator" w:id="0">
    <w:p w14:paraId="61AF3FE6" w14:textId="77777777" w:rsidR="00D33311" w:rsidRDefault="00D33311" w:rsidP="005C1BCA">
      <w:pPr>
        <w:spacing w:after="0"/>
      </w:pPr>
      <w:r>
        <w:continuationSeparator/>
      </w:r>
    </w:p>
  </w:endnote>
  <w:endnote w:type="continuationNotice" w:id="1">
    <w:p w14:paraId="19C391F5" w14:textId="77777777" w:rsidR="00D33311" w:rsidRDefault="00D333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jaVu Sans">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Muli">
    <w:altName w:val="Mul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F0D3" w14:textId="77777777" w:rsidR="00D33311" w:rsidRDefault="00D33311" w:rsidP="005C1BCA">
      <w:pPr>
        <w:spacing w:after="0"/>
      </w:pPr>
      <w:r>
        <w:separator/>
      </w:r>
    </w:p>
  </w:footnote>
  <w:footnote w:type="continuationSeparator" w:id="0">
    <w:p w14:paraId="0D80827D" w14:textId="77777777" w:rsidR="00D33311" w:rsidRDefault="00D33311" w:rsidP="005C1BCA">
      <w:pPr>
        <w:spacing w:after="0"/>
      </w:pPr>
      <w:r>
        <w:continuationSeparator/>
      </w:r>
    </w:p>
  </w:footnote>
  <w:footnote w:type="continuationNotice" w:id="1">
    <w:p w14:paraId="19466D33" w14:textId="77777777" w:rsidR="00D33311" w:rsidRDefault="00D33311">
      <w:pPr>
        <w:spacing w:after="0"/>
      </w:pPr>
    </w:p>
  </w:footnote>
  <w:footnote w:id="2">
    <w:p w14:paraId="7AA04602" w14:textId="1BF7BE3B" w:rsidR="00785CB2" w:rsidRPr="001A3546" w:rsidRDefault="00785CB2">
      <w:pPr>
        <w:pStyle w:val="Textonotapie"/>
        <w:rPr>
          <w:lang w:val="es-CO"/>
        </w:rPr>
      </w:pPr>
      <w:r>
        <w:rPr>
          <w:rStyle w:val="Refdenotaalpie"/>
        </w:rPr>
        <w:footnoteRef/>
      </w:r>
      <w:r>
        <w:t xml:space="preserve"> </w:t>
      </w:r>
      <w:r w:rsidRPr="001A3546">
        <w:rPr>
          <w:sz w:val="18"/>
          <w:szCs w:val="18"/>
        </w:rPr>
        <w:t>Informado a la Superservicios en radicado SSPD No. 20195291477122 del 26 de diciembre de 2019</w:t>
      </w:r>
      <w:r>
        <w:rPr>
          <w:sz w:val="18"/>
          <w:szCs w:val="18"/>
        </w:rPr>
        <w:t>.</w:t>
      </w:r>
    </w:p>
  </w:footnote>
  <w:footnote w:id="3">
    <w:p w14:paraId="45E43C7E" w14:textId="71FC7AA6" w:rsidR="00BB295A" w:rsidRPr="00FA21FA" w:rsidRDefault="00BB295A" w:rsidP="00FA21FA">
      <w:pPr>
        <w:pStyle w:val="Textonotapie"/>
        <w:jc w:val="both"/>
        <w:rPr>
          <w:lang w:val="es-CO"/>
        </w:rPr>
      </w:pPr>
      <w:r>
        <w:rPr>
          <w:rStyle w:val="Refdenotaalpie"/>
        </w:rPr>
        <w:footnoteRef/>
      </w:r>
      <w:r>
        <w:t xml:space="preserve"> </w:t>
      </w:r>
      <w:r w:rsidRPr="00FA21FA">
        <w:rPr>
          <w:rStyle w:val="normaltextrun"/>
          <w:rFonts w:ascii="Bookman Old Style" w:hAnsi="Bookman Old Style" w:cs="Segoe UI"/>
          <w:lang w:eastAsia="es-CO"/>
        </w:rPr>
        <w:t>Sentencia con radicado No. 250000-2327-000-2010-00192-01(19258) de fecha 1 de marzo 2013. Consejero Ponente Hugo Fernando Bastidas Bárcenas.</w:t>
      </w:r>
    </w:p>
  </w:footnote>
  <w:footnote w:id="4">
    <w:p w14:paraId="0A4A94BF" w14:textId="5CF7828C" w:rsidR="00785CB2" w:rsidRPr="00860E84" w:rsidRDefault="00785CB2" w:rsidP="00D42104">
      <w:pPr>
        <w:pStyle w:val="Textonotapie"/>
        <w:ind w:left="0"/>
        <w:rPr>
          <w:lang w:val="es-CO"/>
        </w:rPr>
      </w:pPr>
      <w:r>
        <w:rPr>
          <w:rStyle w:val="Refdenotaalpie"/>
        </w:rPr>
        <w:footnoteRef/>
      </w:r>
      <w:r>
        <w:t xml:space="preserve"> </w:t>
      </w:r>
      <w:r>
        <w:rPr>
          <w:lang w:val="es-CO"/>
        </w:rPr>
        <w:t>Resolución CREG 102 010 de 2022.</w:t>
      </w:r>
    </w:p>
  </w:footnote>
  <w:footnote w:id="5">
    <w:p w14:paraId="4A9DF0AF" w14:textId="5669E9F6" w:rsidR="00C76FF1" w:rsidRPr="00753B5A" w:rsidRDefault="00C76FF1">
      <w:pPr>
        <w:pStyle w:val="Textonotapie"/>
        <w:rPr>
          <w:lang w:val="es-CO"/>
        </w:rPr>
      </w:pPr>
      <w:r>
        <w:rPr>
          <w:rStyle w:val="Refdenotaalpie"/>
        </w:rPr>
        <w:footnoteRef/>
      </w:r>
      <w:r>
        <w:t xml:space="preserve"> </w:t>
      </w:r>
      <w:r w:rsidRPr="00C76FF1">
        <w:t>A</w:t>
      </w:r>
      <w:r>
        <w:t>ctuación iniciada a</w:t>
      </w:r>
      <w:r w:rsidRPr="00C76FF1">
        <w:t xml:space="preserve"> través del Auto I-2019-001737 de 15 de marzo de 2019, ordenando la formación del correspondiente expediente administrativo. Mediante el Aviso 010 de 2019, publicado en el Diario Oficial, la CREG hizo público un resumen de la actuación administrativa en cumplimiento de lo previsto en el artículo 37 del Código de Procedimiento Administrativo y de lo Contencioso Administrativo.</w:t>
      </w:r>
      <w:r>
        <w:t xml:space="preserve"> Esta Resolución fue recurrida mediante las comunicaciones E-2021-011979, E-2021-011980 y E-2021-011981 por parte de TGI. </w:t>
      </w:r>
    </w:p>
  </w:footnote>
  <w:footnote w:id="6">
    <w:p w14:paraId="4802FD7A" w14:textId="49C7E20A" w:rsidR="00C76FF1" w:rsidRPr="00753B5A" w:rsidRDefault="00C76FF1">
      <w:pPr>
        <w:pStyle w:val="Textonotapie"/>
        <w:rPr>
          <w:lang w:val="es-CO"/>
        </w:rPr>
      </w:pPr>
      <w:r>
        <w:rPr>
          <w:rStyle w:val="Refdenotaalpie"/>
        </w:rPr>
        <w:footnoteRef/>
      </w:r>
      <w:r>
        <w:t xml:space="preserve"> </w:t>
      </w:r>
      <w:r w:rsidR="00EE7A3C">
        <w:t xml:space="preserve">Por la cual se resuelve interpuesto frente a la Resolución CREG 099 de 2021, la cual fue publicada en la página web el 24 de enero de 2022. </w:t>
      </w:r>
    </w:p>
  </w:footnote>
  <w:footnote w:id="7">
    <w:p w14:paraId="49B50714" w14:textId="277D92AC" w:rsidR="00785CB2" w:rsidRPr="00703EEC" w:rsidRDefault="00785CB2" w:rsidP="00AB0CD4">
      <w:pPr>
        <w:pStyle w:val="Textonotapie"/>
        <w:jc w:val="both"/>
        <w:rPr>
          <w:lang w:val="es-CO"/>
        </w:rPr>
      </w:pPr>
      <w:r>
        <w:rPr>
          <w:rStyle w:val="Refdenotaalpie"/>
        </w:rPr>
        <w:footnoteRef/>
      </w:r>
      <w:r>
        <w:t xml:space="preserve"> L</w:t>
      </w:r>
      <w:r w:rsidRPr="00AB0CD4">
        <w:t xml:space="preserve">a Corte Constitucional tiene decidido que las leyes que suponen el reconocimiento de un derecho a la intangibilidad de las reglas que se expiden y las situaciones jurídicas que se consolidan en el ejercicio de la función de intervención del Estado, prevista en el artículo 334, son inconstitucionales, porque se apartan de la prevalencia del interés social, público o común, que faculta la modificación de </w:t>
      </w:r>
      <w:proofErr w:type="gramStart"/>
      <w:r w:rsidRPr="00AB0CD4">
        <w:t>las mismas</w:t>
      </w:r>
      <w:proofErr w:type="gramEnd"/>
      <w:r w:rsidRPr="00AB0CD4">
        <w:t xml:space="preserve">. Como lo decidió en la sentencia C-192 de 2016, en la que declaró la </w:t>
      </w:r>
      <w:proofErr w:type="spellStart"/>
      <w:r w:rsidRPr="00AB0CD4">
        <w:t>inexequibilidad</w:t>
      </w:r>
      <w:proofErr w:type="spellEnd"/>
      <w:r w:rsidRPr="00AB0CD4">
        <w:t xml:space="preserve"> de los apartes normativos de los artículos 23 y 24 de la Ley 1617 de 2013, que establecían el respeto a derechos adquiridos en materia de usos de suelo, en contravía de lo consagrado en los artículos 1º y 58 de la Constitución Política.</w:t>
      </w:r>
    </w:p>
  </w:footnote>
  <w:footnote w:id="8">
    <w:p w14:paraId="0B642302" w14:textId="0AB2DA88" w:rsidR="00785CB2" w:rsidRPr="00F219CB" w:rsidRDefault="00785CB2">
      <w:pPr>
        <w:pStyle w:val="Textonotapie"/>
        <w:rPr>
          <w:lang w:val="es-CO"/>
        </w:rPr>
      </w:pPr>
      <w:r>
        <w:rPr>
          <w:rStyle w:val="Refdenotaalpie"/>
        </w:rPr>
        <w:footnoteRef/>
      </w:r>
      <w:r>
        <w:t xml:space="preserve"> </w:t>
      </w:r>
      <w:r w:rsidRPr="006C278A">
        <w:rPr>
          <w:rStyle w:val="normaltextrun"/>
          <w:rFonts w:ascii="Bookman Old Style" w:hAnsi="Bookman Old Style" w:cs="Segoe UI"/>
        </w:rPr>
        <w:t>Consejo de Estado. Sala de lo Contencioso Administrativo. Sección Tercera. Consejero ponente: María Elena Giraldo Gómez. Bogotá D. C., veintiséis (26) de mayo de dos mil cinco (2005). Expediente número 27998.</w:t>
      </w:r>
    </w:p>
  </w:footnote>
  <w:footnote w:id="9">
    <w:p w14:paraId="1B59B902" w14:textId="30B67F04" w:rsidR="00785CB2" w:rsidRPr="00724494" w:rsidRDefault="00785CB2">
      <w:pPr>
        <w:pStyle w:val="Textonotapie"/>
        <w:rPr>
          <w:lang w:val="es-CO"/>
        </w:rPr>
      </w:pPr>
      <w:r>
        <w:rPr>
          <w:rStyle w:val="Refdenotaalpie"/>
        </w:rPr>
        <w:footnoteRef/>
      </w:r>
      <w:r>
        <w:t xml:space="preserve"> </w:t>
      </w:r>
      <w:r w:rsidRPr="006C278A">
        <w:rPr>
          <w:rStyle w:val="normaltextrun"/>
          <w:rFonts w:ascii="Bookman Old Style" w:hAnsi="Bookman Old Style" w:cs="Segoe UI"/>
        </w:rPr>
        <w:t xml:space="preserve">Consejo de Estado. Sala de lo Contencioso Administrativo. Sección </w:t>
      </w:r>
      <w:r>
        <w:rPr>
          <w:rStyle w:val="normaltextrun"/>
          <w:rFonts w:ascii="Bookman Old Style" w:hAnsi="Bookman Old Style" w:cs="Segoe UI"/>
        </w:rPr>
        <w:t>Cuarta</w:t>
      </w:r>
      <w:r w:rsidRPr="006C278A">
        <w:rPr>
          <w:rStyle w:val="normaltextrun"/>
          <w:rFonts w:ascii="Bookman Old Style" w:hAnsi="Bookman Old Style" w:cs="Segoe UI"/>
        </w:rPr>
        <w:t xml:space="preserve">. Consejero ponente: </w:t>
      </w:r>
      <w:r w:rsidRPr="00525563">
        <w:rPr>
          <w:rStyle w:val="normaltextrun"/>
          <w:rFonts w:ascii="Bookman Old Style" w:hAnsi="Bookman Old Style" w:cs="Segoe UI"/>
        </w:rPr>
        <w:t xml:space="preserve">Hugo Fernando Bastidas </w:t>
      </w:r>
      <w:proofErr w:type="spellStart"/>
      <w:r w:rsidRPr="00525563">
        <w:rPr>
          <w:rStyle w:val="normaltextrun"/>
          <w:rFonts w:ascii="Bookman Old Style" w:hAnsi="Bookman Old Style" w:cs="Segoe UI"/>
        </w:rPr>
        <w:t>Barcenas</w:t>
      </w:r>
      <w:proofErr w:type="spellEnd"/>
      <w:r w:rsidRPr="006C278A">
        <w:rPr>
          <w:rStyle w:val="normaltextrun"/>
          <w:rFonts w:ascii="Bookman Old Style" w:hAnsi="Bookman Old Style" w:cs="Segoe UI"/>
        </w:rPr>
        <w:t xml:space="preserve">. Bogotá D. C., </w:t>
      </w:r>
      <w:r>
        <w:rPr>
          <w:rStyle w:val="normaltextrun"/>
          <w:rFonts w:ascii="Bookman Old Style" w:hAnsi="Bookman Old Style" w:cs="Segoe UI"/>
        </w:rPr>
        <w:t>quince</w:t>
      </w:r>
      <w:r w:rsidRPr="006C278A">
        <w:rPr>
          <w:rStyle w:val="normaltextrun"/>
          <w:rFonts w:ascii="Bookman Old Style" w:hAnsi="Bookman Old Style" w:cs="Segoe UI"/>
        </w:rPr>
        <w:t xml:space="preserve"> (</w:t>
      </w:r>
      <w:r>
        <w:rPr>
          <w:rStyle w:val="normaltextrun"/>
          <w:rFonts w:ascii="Bookman Old Style" w:hAnsi="Bookman Old Style" w:cs="Segoe UI"/>
        </w:rPr>
        <w:t>15</w:t>
      </w:r>
      <w:r w:rsidRPr="006C278A">
        <w:rPr>
          <w:rStyle w:val="normaltextrun"/>
          <w:rFonts w:ascii="Bookman Old Style" w:hAnsi="Bookman Old Style" w:cs="Segoe UI"/>
        </w:rPr>
        <w:t>) de ma</w:t>
      </w:r>
      <w:r>
        <w:rPr>
          <w:rStyle w:val="normaltextrun"/>
          <w:rFonts w:ascii="Bookman Old Style" w:hAnsi="Bookman Old Style" w:cs="Segoe UI"/>
        </w:rPr>
        <w:t xml:space="preserve">rzo </w:t>
      </w:r>
      <w:r w:rsidRPr="006C278A">
        <w:rPr>
          <w:rStyle w:val="normaltextrun"/>
          <w:rFonts w:ascii="Bookman Old Style" w:hAnsi="Bookman Old Style" w:cs="Segoe UI"/>
        </w:rPr>
        <w:t xml:space="preserve">de dos mil </w:t>
      </w:r>
      <w:r>
        <w:rPr>
          <w:rStyle w:val="normaltextrun"/>
          <w:rFonts w:ascii="Bookman Old Style" w:hAnsi="Bookman Old Style" w:cs="Segoe UI"/>
        </w:rPr>
        <w:t>trece</w:t>
      </w:r>
      <w:r w:rsidRPr="006C278A">
        <w:rPr>
          <w:rStyle w:val="normaltextrun"/>
          <w:rFonts w:ascii="Bookman Old Style" w:hAnsi="Bookman Old Style" w:cs="Segoe UI"/>
        </w:rPr>
        <w:t xml:space="preserve"> (20</w:t>
      </w:r>
      <w:r>
        <w:rPr>
          <w:rStyle w:val="normaltextrun"/>
          <w:rFonts w:ascii="Bookman Old Style" w:hAnsi="Bookman Old Style" w:cs="Segoe UI"/>
        </w:rPr>
        <w:t>13</w:t>
      </w:r>
      <w:r w:rsidRPr="006C278A">
        <w:rPr>
          <w:rStyle w:val="normaltextrun"/>
          <w:rFonts w:ascii="Bookman Old Style" w:hAnsi="Bookman Old Style" w:cs="Segoe UI"/>
        </w:rPr>
        <w:t>). Expediente número</w:t>
      </w:r>
      <w:r>
        <w:rPr>
          <w:rStyle w:val="normaltextrun"/>
          <w:rFonts w:ascii="Bookman Old Style" w:hAnsi="Bookman Old Style" w:cs="Segoe UI"/>
        </w:rPr>
        <w:t xml:space="preserve"> </w:t>
      </w:r>
      <w:r w:rsidRPr="00F059B9">
        <w:t>19227</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6BA0" w14:textId="5A00EBE0" w:rsidR="00785CB2" w:rsidRDefault="00785CB2" w:rsidP="001F2B83">
    <w:pPr>
      <w:pStyle w:val="Ttulo1"/>
      <w:ind w:right="6"/>
      <w:jc w:val="left"/>
      <w:rPr>
        <w:rFonts w:ascii="Bookman Old Style" w:hAnsi="Bookman Old Style" w:cs="Arial"/>
        <w:b w:val="0"/>
        <w:sz w:val="22"/>
        <w:szCs w:val="22"/>
      </w:rPr>
    </w:pPr>
  </w:p>
  <w:p w14:paraId="2C9B156E" w14:textId="5B5C98B3" w:rsidR="00785CB2" w:rsidRPr="00BE7550" w:rsidRDefault="00785CB2" w:rsidP="00BE7550">
    <w:pPr>
      <w:spacing w:after="0"/>
      <w:jc w:val="both"/>
      <w:rPr>
        <w:rFonts w:eastAsia="Times New Roman" w:cs="Times New Roman"/>
        <w:szCs w:val="24"/>
        <w:lang w:eastAsia="es-ES_tradnl"/>
      </w:rPr>
    </w:pPr>
    <w:r w:rsidRPr="00BE7550">
      <w:rPr>
        <w:rFonts w:eastAsia="Times New Roman" w:cs="Times New Roman"/>
        <w:szCs w:val="24"/>
        <w:lang w:eastAsia="es-ES_tradnl"/>
      </w:rPr>
      <w:t xml:space="preserve">RESOLUCIÓN No. </w:t>
    </w:r>
    <w:r>
      <w:rPr>
        <w:rFonts w:eastAsia="Times New Roman" w:cs="Times New Roman"/>
        <w:b/>
        <w:bCs/>
        <w:szCs w:val="24"/>
        <w:u w:val="single"/>
        <w:lang w:eastAsia="es-ES_tradnl"/>
      </w:rPr>
      <w:t xml:space="preserve">502 </w:t>
    </w:r>
    <w:r w:rsidR="00753B5A">
      <w:rPr>
        <w:rFonts w:eastAsia="Times New Roman" w:cs="Times New Roman"/>
        <w:b/>
        <w:bCs/>
        <w:szCs w:val="24"/>
        <w:u w:val="single"/>
        <w:lang w:eastAsia="es-ES_tradnl"/>
      </w:rPr>
      <w:t xml:space="preserve">035  </w:t>
    </w:r>
    <w:r>
      <w:rPr>
        <w:rFonts w:eastAsia="Times New Roman" w:cs="Times New Roman"/>
        <w:b/>
        <w:bCs/>
        <w:szCs w:val="24"/>
        <w:u w:val="single"/>
        <w:lang w:eastAsia="es-ES_tradnl"/>
      </w:rPr>
      <w:t xml:space="preserve"> </w:t>
    </w:r>
    <w:r w:rsidRPr="00BE7550">
      <w:rPr>
        <w:rFonts w:eastAsia="Times New Roman" w:cs="Times New Roman"/>
        <w:szCs w:val="24"/>
        <w:lang w:eastAsia="es-ES_tradnl"/>
      </w:rPr>
      <w:t xml:space="preserve">DE </w:t>
    </w:r>
    <w:r>
      <w:rPr>
        <w:rFonts w:eastAsia="Times New Roman" w:cs="Times New Roman"/>
        <w:szCs w:val="24"/>
        <w:lang w:eastAsia="es-ES_tradnl"/>
      </w:rPr>
      <w:t xml:space="preserve"> </w:t>
    </w:r>
    <w:r>
      <w:rPr>
        <w:rFonts w:eastAsia="Times New Roman" w:cs="Times New Roman"/>
        <w:b/>
        <w:bCs/>
        <w:szCs w:val="24"/>
        <w:u w:val="single"/>
        <w:lang w:eastAsia="es-ES_tradnl"/>
      </w:rPr>
      <w:t xml:space="preserve">21 </w:t>
    </w:r>
    <w:r w:rsidR="00753B5A">
      <w:rPr>
        <w:rFonts w:eastAsia="Times New Roman" w:cs="Times New Roman"/>
        <w:b/>
        <w:bCs/>
        <w:szCs w:val="24"/>
        <w:u w:val="single"/>
        <w:lang w:eastAsia="es-ES_tradnl"/>
      </w:rPr>
      <w:t>DIC.</w:t>
    </w:r>
    <w:r>
      <w:rPr>
        <w:rFonts w:eastAsia="Times New Roman" w:cs="Times New Roman"/>
        <w:b/>
        <w:bCs/>
        <w:szCs w:val="24"/>
        <w:u w:val="single"/>
        <w:lang w:eastAsia="es-ES_tradnl"/>
      </w:rPr>
      <w:t xml:space="preserve"> </w:t>
    </w:r>
    <w:r w:rsidRPr="00BE7550">
      <w:rPr>
        <w:rFonts w:eastAsia="Times New Roman" w:cs="Times New Roman"/>
        <w:b/>
        <w:bCs/>
        <w:szCs w:val="24"/>
        <w:u w:val="single"/>
        <w:lang w:eastAsia="es-ES_tradnl"/>
      </w:rPr>
      <w:t>202</w:t>
    </w:r>
    <w:r>
      <w:rPr>
        <w:rFonts w:eastAsia="Times New Roman" w:cs="Times New Roman"/>
        <w:b/>
        <w:bCs/>
        <w:szCs w:val="24"/>
        <w:u w:val="single"/>
        <w:lang w:eastAsia="es-ES_tradnl"/>
      </w:rPr>
      <w:t>2</w:t>
    </w:r>
    <w:r w:rsidRPr="007B3C4F">
      <w:rPr>
        <w:rFonts w:eastAsia="Times New Roman" w:cs="Times New Roman"/>
        <w:b/>
        <w:bCs/>
        <w:szCs w:val="24"/>
        <w:lang w:eastAsia="es-ES_tradnl"/>
      </w:rPr>
      <w:t xml:space="preserve">   </w:t>
    </w:r>
    <w:r w:rsidR="00A60F17">
      <w:rPr>
        <w:rFonts w:eastAsia="Times New Roman" w:cs="Times New Roman"/>
        <w:b/>
        <w:bCs/>
        <w:szCs w:val="24"/>
        <w:lang w:eastAsia="es-ES_tradnl"/>
      </w:rPr>
      <w:t xml:space="preserve">                </w:t>
    </w:r>
    <w:r w:rsidRPr="00BE7550">
      <w:rPr>
        <w:rFonts w:eastAsia="Times New Roman" w:cs="Times New Roman"/>
        <w:szCs w:val="24"/>
        <w:lang w:eastAsia="es-ES_tradnl"/>
      </w:rPr>
      <w:t xml:space="preserve">HOJA No. </w:t>
    </w:r>
    <w:r w:rsidRPr="00BE7550">
      <w:rPr>
        <w:rFonts w:eastAsia="Times New Roman" w:cs="Times New Roman"/>
        <w:szCs w:val="24"/>
        <w:lang w:eastAsia="es-ES_tradnl"/>
      </w:rPr>
      <w:fldChar w:fldCharType="begin"/>
    </w:r>
    <w:r w:rsidRPr="00BE7550">
      <w:rPr>
        <w:rFonts w:eastAsia="Times New Roman" w:cs="Times New Roman"/>
        <w:szCs w:val="24"/>
        <w:lang w:eastAsia="es-ES_tradnl"/>
      </w:rPr>
      <w:instrText xml:space="preserve"> PAGE   \* MERGEFORMAT </w:instrText>
    </w:r>
    <w:r w:rsidRPr="00BE7550">
      <w:rPr>
        <w:rFonts w:eastAsia="Times New Roman" w:cs="Times New Roman"/>
        <w:szCs w:val="24"/>
        <w:lang w:eastAsia="es-ES_tradnl"/>
      </w:rPr>
      <w:fldChar w:fldCharType="separate"/>
    </w:r>
    <w:r w:rsidRPr="00BE7550">
      <w:rPr>
        <w:rFonts w:eastAsia="Times New Roman" w:cs="Times New Roman"/>
        <w:szCs w:val="24"/>
        <w:lang w:eastAsia="es-ES_tradnl"/>
      </w:rPr>
      <w:t>2</w:t>
    </w:r>
    <w:r w:rsidRPr="00BE7550">
      <w:rPr>
        <w:rFonts w:eastAsia="Times New Roman" w:cs="Times New Roman"/>
        <w:szCs w:val="24"/>
        <w:lang w:eastAsia="es-ES_tradnl"/>
      </w:rPr>
      <w:fldChar w:fldCharType="end"/>
    </w:r>
    <w:r w:rsidRPr="00BE7550">
      <w:rPr>
        <w:rFonts w:eastAsia="Times New Roman" w:cs="Times New Roman"/>
        <w:szCs w:val="24"/>
        <w:lang w:eastAsia="es-ES_tradnl"/>
      </w:rPr>
      <w:t>/</w:t>
    </w:r>
    <w:r w:rsidRPr="00BE7550">
      <w:rPr>
        <w:rFonts w:eastAsia="Times New Roman" w:cs="Times New Roman"/>
        <w:szCs w:val="24"/>
        <w:lang w:eastAsia="es-ES_tradnl"/>
      </w:rPr>
      <w:fldChar w:fldCharType="begin"/>
    </w:r>
    <w:r w:rsidRPr="00BE7550">
      <w:rPr>
        <w:rFonts w:eastAsia="Times New Roman" w:cs="Times New Roman"/>
        <w:szCs w:val="24"/>
        <w:lang w:eastAsia="es-ES_tradnl"/>
      </w:rPr>
      <w:instrText>NUMPAGES  \* MERGEFORMAT</w:instrText>
    </w:r>
    <w:r w:rsidRPr="00BE7550">
      <w:rPr>
        <w:rFonts w:eastAsia="Times New Roman" w:cs="Times New Roman"/>
        <w:szCs w:val="24"/>
        <w:lang w:eastAsia="es-ES_tradnl"/>
      </w:rPr>
      <w:fldChar w:fldCharType="separate"/>
    </w:r>
    <w:r w:rsidRPr="00BE7550">
      <w:rPr>
        <w:rFonts w:eastAsia="Times New Roman" w:cs="Times New Roman"/>
        <w:szCs w:val="24"/>
        <w:lang w:eastAsia="es-ES_tradnl"/>
      </w:rPr>
      <w:t>4</w:t>
    </w:r>
    <w:r w:rsidRPr="00BE7550">
      <w:rPr>
        <w:rFonts w:eastAsia="Times New Roman" w:cs="Times New Roman"/>
        <w:szCs w:val="24"/>
        <w:lang w:eastAsia="es-ES_tradnl"/>
      </w:rPr>
      <w:fldChar w:fldCharType="end"/>
    </w:r>
  </w:p>
  <w:p w14:paraId="058D3816" w14:textId="7065CD49" w:rsidR="00785CB2" w:rsidRDefault="00785CB2" w:rsidP="001F2B83">
    <w:pPr>
      <w:ind w:left="142" w:right="148"/>
      <w:rPr>
        <w:rFonts w:cs="Arial"/>
      </w:rPr>
    </w:pPr>
    <w:r>
      <w:rPr>
        <w:noProof/>
        <w:lang w:eastAsia="es-CO"/>
      </w:rPr>
      <mc:AlternateContent>
        <mc:Choice Requires="wps">
          <w:drawing>
            <wp:anchor distT="0" distB="0" distL="114300" distR="114300" simplePos="0" relativeHeight="251658752" behindDoc="1" locked="0" layoutInCell="1" allowOverlap="1" wp14:anchorId="40F2437B" wp14:editId="753ECFCA">
              <wp:simplePos x="0" y="0"/>
              <wp:positionH relativeFrom="column">
                <wp:posOffset>-184785</wp:posOffset>
              </wp:positionH>
              <wp:positionV relativeFrom="paragraph">
                <wp:posOffset>83185</wp:posOffset>
              </wp:positionV>
              <wp:extent cx="6267450" cy="9934575"/>
              <wp:effectExtent l="0" t="0" r="19050" b="2857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34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2C273C" w14:textId="418F9A1B" w:rsidR="00785CB2" w:rsidRPr="00E40729" w:rsidRDefault="00785CB2" w:rsidP="004E50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437B" id="Rectángulo 2" o:spid="_x0000_s1026" style="position:absolute;left:0;text-align:left;margin-left:-14.55pt;margin-top:6.55pt;width:493.5pt;height:78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" filled="f" strokeweight="1.5pt">
              <v:textbox>
                <w:txbxContent>
                  <w:p w14:paraId="292C273C" w14:textId="418F9A1B" w:rsidR="00785CB2" w:rsidRPr="00E40729" w:rsidRDefault="00785CB2" w:rsidP="004E50FB">
                    <w:pPr>
                      <w:rPr>
                        <w:lang w:val="es-ES"/>
                      </w:rPr>
                    </w:pPr>
                  </w:p>
                </w:txbxContent>
              </v:textbox>
            </v:rect>
          </w:pict>
        </mc:Fallback>
      </mc:AlternateContent>
    </w:r>
  </w:p>
  <w:p w14:paraId="17832FCE" w14:textId="6CB4FEDE" w:rsidR="00785CB2" w:rsidRPr="00D42104" w:rsidRDefault="00785CB2" w:rsidP="00A60F17">
    <w:pPr>
      <w:pBdr>
        <w:bottom w:val="single" w:sz="4" w:space="7" w:color="auto"/>
      </w:pBdr>
      <w:spacing w:before="120" w:after="120"/>
      <w:ind w:right="147"/>
      <w:jc w:val="both"/>
      <w:rPr>
        <w:rFonts w:eastAsia="Times New Roman" w:cs="Times New Roman"/>
        <w:i/>
        <w:iCs/>
        <w:sz w:val="22"/>
        <w:lang w:val="es-ES" w:eastAsia="es-ES"/>
      </w:rPr>
    </w:pPr>
    <w:r w:rsidRPr="00D42104">
      <w:rPr>
        <w:rFonts w:eastAsia="Times New Roman" w:cs="Times New Roman"/>
        <w:i/>
        <w:iCs/>
        <w:sz w:val="22"/>
        <w:lang w:val="es-ES" w:eastAsia="es-ES"/>
      </w:rPr>
      <w:t>Por la cual se resuelven los recursos de reposición interpuestos por las empresas TGI S.A. E.S.P. y VANTI S.A. E.S.P. contra la Resolución CREG 502 024 de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7751" w14:textId="041F8F87" w:rsidR="00785CB2" w:rsidRDefault="00785CB2" w:rsidP="00D42104">
    <w:pPr>
      <w:pStyle w:val="Encabezado"/>
      <w:ind w:left="0"/>
      <w:jc w:val="center"/>
      <w:rPr>
        <w:rFonts w:ascii="Arial" w:hAnsi="Arial" w:cs="Arial"/>
        <w:spacing w:val="20"/>
        <w:sz w:val="20"/>
      </w:rPr>
    </w:pPr>
    <w:r>
      <w:rPr>
        <w:rFonts w:ascii="Arial" w:hAnsi="Arial" w:cs="Arial"/>
        <w:spacing w:val="20"/>
        <w:sz w:val="20"/>
      </w:rPr>
      <w:t>República de Colombia</w:t>
    </w:r>
  </w:p>
  <w:p w14:paraId="33491D84" w14:textId="77777777" w:rsidR="00785CB2" w:rsidRDefault="00785CB2">
    <w:pPr>
      <w:pStyle w:val="Encabezado"/>
      <w:jc w:val="center"/>
      <w:rPr>
        <w:rFonts w:ascii="Arial" w:hAnsi="Arial" w:cs="Arial"/>
        <w:spacing w:val="20"/>
        <w:sz w:val="20"/>
      </w:rPr>
    </w:pPr>
  </w:p>
  <w:p w14:paraId="16FE288C" w14:textId="77777777" w:rsidR="00785CB2" w:rsidRDefault="00785CB2" w:rsidP="001F2B83">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58240" behindDoc="0" locked="0" layoutInCell="1" allowOverlap="1" wp14:anchorId="7314DB35" wp14:editId="022A6DA7">
              <wp:simplePos x="0" y="0"/>
              <wp:positionH relativeFrom="column">
                <wp:posOffset>-213360</wp:posOffset>
              </wp:positionH>
              <wp:positionV relativeFrom="paragraph">
                <wp:posOffset>377190</wp:posOffset>
              </wp:positionV>
              <wp:extent cx="6343650" cy="9839325"/>
              <wp:effectExtent l="15240" t="15240" r="13335" b="1333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51627" id="Rectángulo 1" o:spid="_x0000_s1026" style="position:absolute;margin-left:-16.8pt;margin-top:29.7pt;width:499.5pt;height:77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3"/>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2"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15:restartNumberingAfterBreak="0">
    <w:nsid w:val="1D5154E1"/>
    <w:multiLevelType w:val="hybridMultilevel"/>
    <w:tmpl w:val="D96C979A"/>
    <w:lvl w:ilvl="0" w:tplc="69AA0D62">
      <w:start w:val="1"/>
      <w:numFmt w:val="decimal"/>
      <w:lvlText w:val="%1."/>
      <w:lvlJc w:val="left"/>
      <w:pPr>
        <w:ind w:left="1353" w:hanging="360"/>
      </w:pPr>
      <w:rPr>
        <w:rFonts w:hint="default"/>
      </w:rPr>
    </w:lvl>
    <w:lvl w:ilvl="1" w:tplc="240A0019">
      <w:start w:val="1"/>
      <w:numFmt w:val="lowerLetter"/>
      <w:lvlText w:val="%2."/>
      <w:lvlJc w:val="left"/>
      <w:pPr>
        <w:ind w:left="2073" w:hanging="360"/>
      </w:pPr>
    </w:lvl>
    <w:lvl w:ilvl="2" w:tplc="240A001B">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4" w15:restartNumberingAfterBreak="0">
    <w:nsid w:val="297B14F4"/>
    <w:multiLevelType w:val="multilevel"/>
    <w:tmpl w:val="2E804190"/>
    <w:name w:val="List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98A4B20"/>
    <w:multiLevelType w:val="multilevel"/>
    <w:tmpl w:val="CBD8CBFA"/>
    <w:lvl w:ilvl="0">
      <w:start w:val="1"/>
      <w:numFmt w:val="decimal"/>
      <w:pStyle w:val="Tit1"/>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4478" w:hanging="792"/>
      </w:pPr>
      <w:rPr>
        <w:b w:val="0"/>
        <w:bCs/>
      </w:r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 w15:restartNumberingAfterBreak="0">
    <w:nsid w:val="3EDD5B4A"/>
    <w:multiLevelType w:val="hybridMultilevel"/>
    <w:tmpl w:val="E29ABBE4"/>
    <w:lvl w:ilvl="0" w:tplc="0066B43C">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40536EDD"/>
    <w:multiLevelType w:val="multilevel"/>
    <w:tmpl w:val="1E2E100C"/>
    <w:lvl w:ilvl="0">
      <w:start w:val="1"/>
      <w:numFmt w:val="decimal"/>
      <w:lvlText w:val="%1."/>
      <w:lvlJc w:val="left"/>
      <w:pPr>
        <w:tabs>
          <w:tab w:val="num" w:pos="0"/>
        </w:tabs>
        <w:ind w:left="0" w:hanging="360"/>
      </w:pPr>
      <w:rPr>
        <w:b/>
        <w:bCs/>
        <w:i/>
        <w:iCs/>
        <w:sz w:val="22"/>
        <w:szCs w:val="22"/>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4BAB2BB0"/>
    <w:multiLevelType w:val="hybridMultilevel"/>
    <w:tmpl w:val="75ACDD34"/>
    <w:lvl w:ilvl="0" w:tplc="50E2834C">
      <w:start w:val="1"/>
      <w:numFmt w:val="decimal"/>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15:restartNumberingAfterBreak="0">
    <w:nsid w:val="4EE16300"/>
    <w:multiLevelType w:val="hybridMultilevel"/>
    <w:tmpl w:val="2130B7CA"/>
    <w:lvl w:ilvl="0" w:tplc="63B0E202">
      <w:start w:val="2"/>
      <w:numFmt w:val="bullet"/>
      <w:lvlText w:val="-"/>
      <w:lvlJc w:val="left"/>
      <w:pPr>
        <w:ind w:left="720" w:hanging="360"/>
      </w:pPr>
      <w:rPr>
        <w:rFonts w:ascii="Bookman Old Style" w:eastAsia="Times New Roman" w:hAnsi="Bookman Old Style" w:cs="Segoe UI" w:hint="default"/>
        <w:b w:val="0"/>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2EF74C9"/>
    <w:multiLevelType w:val="hybridMultilevel"/>
    <w:tmpl w:val="DA0A7412"/>
    <w:name w:val="Lista4322"/>
    <w:lvl w:ilvl="0" w:tplc="758CDDFE">
      <w:start w:val="1"/>
      <w:numFmt w:val="decimal"/>
      <w:lvlText w:val="Artículo %1."/>
      <w:lvlJc w:val="left"/>
      <w:pPr>
        <w:ind w:left="360" w:hanging="360"/>
      </w:pPr>
      <w:rPr>
        <w:rFonts w:ascii="Bookman Old Style" w:hAnsi="Bookman Old Style"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C7212C6">
      <w:start w:val="1"/>
      <w:numFmt w:val="lowerLetter"/>
      <w:lvlText w:val="%2."/>
      <w:lvlJc w:val="left"/>
      <w:pPr>
        <w:ind w:left="1080" w:hanging="360"/>
      </w:pPr>
    </w:lvl>
    <w:lvl w:ilvl="2" w:tplc="A446BFEE" w:tentative="1">
      <w:start w:val="1"/>
      <w:numFmt w:val="lowerRoman"/>
      <w:lvlText w:val="%3."/>
      <w:lvlJc w:val="right"/>
      <w:pPr>
        <w:ind w:left="1800" w:hanging="180"/>
      </w:pPr>
    </w:lvl>
    <w:lvl w:ilvl="3" w:tplc="AA4A5ACA" w:tentative="1">
      <w:start w:val="1"/>
      <w:numFmt w:val="decimal"/>
      <w:lvlText w:val="%4."/>
      <w:lvlJc w:val="left"/>
      <w:pPr>
        <w:ind w:left="2520" w:hanging="360"/>
      </w:pPr>
    </w:lvl>
    <w:lvl w:ilvl="4" w:tplc="4DB8D95A" w:tentative="1">
      <w:start w:val="1"/>
      <w:numFmt w:val="lowerLetter"/>
      <w:lvlText w:val="%5."/>
      <w:lvlJc w:val="left"/>
      <w:pPr>
        <w:ind w:left="3240" w:hanging="360"/>
      </w:pPr>
    </w:lvl>
    <w:lvl w:ilvl="5" w:tplc="D4DC958A" w:tentative="1">
      <w:start w:val="1"/>
      <w:numFmt w:val="lowerRoman"/>
      <w:lvlText w:val="%6."/>
      <w:lvlJc w:val="right"/>
      <w:pPr>
        <w:ind w:left="3960" w:hanging="180"/>
      </w:pPr>
    </w:lvl>
    <w:lvl w:ilvl="6" w:tplc="67940270" w:tentative="1">
      <w:start w:val="1"/>
      <w:numFmt w:val="decimal"/>
      <w:lvlText w:val="%7."/>
      <w:lvlJc w:val="left"/>
      <w:pPr>
        <w:ind w:left="4680" w:hanging="360"/>
      </w:pPr>
    </w:lvl>
    <w:lvl w:ilvl="7" w:tplc="CBDC6ABC" w:tentative="1">
      <w:start w:val="1"/>
      <w:numFmt w:val="lowerLetter"/>
      <w:lvlText w:val="%8."/>
      <w:lvlJc w:val="left"/>
      <w:pPr>
        <w:ind w:left="5400" w:hanging="360"/>
      </w:pPr>
    </w:lvl>
    <w:lvl w:ilvl="8" w:tplc="318638EC" w:tentative="1">
      <w:start w:val="1"/>
      <w:numFmt w:val="lowerRoman"/>
      <w:lvlText w:val="%9."/>
      <w:lvlJc w:val="right"/>
      <w:pPr>
        <w:ind w:left="6120" w:hanging="180"/>
      </w:pPr>
    </w:lvl>
  </w:abstractNum>
  <w:abstractNum w:abstractNumId="11" w15:restartNumberingAfterBreak="0">
    <w:nsid w:val="55433A11"/>
    <w:multiLevelType w:val="hybridMultilevel"/>
    <w:tmpl w:val="C2AE167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2" w15:restartNumberingAfterBreak="0">
    <w:nsid w:val="680D101A"/>
    <w:multiLevelType w:val="hybridMultilevel"/>
    <w:tmpl w:val="A22C1F46"/>
    <w:lvl w:ilvl="0" w:tplc="211E0142">
      <w:start w:val="1"/>
      <w:numFmt w:val="lowerLetter"/>
      <w:pStyle w:val="Estilo5"/>
      <w:lvlText w:val="%1)"/>
      <w:lvlJc w:val="left"/>
      <w:pPr>
        <w:tabs>
          <w:tab w:val="num" w:pos="360"/>
        </w:tabs>
        <w:ind w:left="360" w:hanging="360"/>
      </w:pPr>
      <w:rPr>
        <w:rFonts w:hint="default"/>
      </w:r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13" w15:restartNumberingAfterBreak="0">
    <w:nsid w:val="68C945D1"/>
    <w:multiLevelType w:val="hybridMultilevel"/>
    <w:tmpl w:val="7C0C69D8"/>
    <w:lvl w:ilvl="0" w:tplc="FFFFFFFF">
      <w:start w:val="1"/>
      <w:numFmt w:val="decimal"/>
      <w:lvlText w:val="%1."/>
      <w:lvlJc w:val="left"/>
      <w:pPr>
        <w:ind w:left="1146" w:hanging="360"/>
      </w:pPr>
      <w:rPr>
        <w:rFonts w:hint="default"/>
      </w:rPr>
    </w:lvl>
    <w:lvl w:ilvl="1" w:tplc="BC3031A2">
      <w:start w:val="1"/>
      <w:numFmt w:val="lowerRoman"/>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73432BD8"/>
    <w:multiLevelType w:val="hybridMultilevel"/>
    <w:tmpl w:val="1F3E190C"/>
    <w:lvl w:ilvl="0" w:tplc="68D4F308">
      <w:start w:val="1"/>
      <w:numFmt w:val="decimal"/>
      <w:pStyle w:val="ARTICULOS"/>
      <w:lvlText w:val="Artículo %1."/>
      <w:lvlJc w:val="left"/>
      <w:pPr>
        <w:ind w:left="1353"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15" w15:restartNumberingAfterBreak="0">
    <w:nsid w:val="7F5C4D5D"/>
    <w:multiLevelType w:val="multilevel"/>
    <w:tmpl w:val="70E2FCD2"/>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num w:numId="1" w16cid:durableId="1610891839">
    <w:abstractNumId w:val="2"/>
  </w:num>
  <w:num w:numId="2" w16cid:durableId="1639804071">
    <w:abstractNumId w:val="14"/>
  </w:num>
  <w:num w:numId="3" w16cid:durableId="1845780591">
    <w:abstractNumId w:val="11"/>
  </w:num>
  <w:num w:numId="4" w16cid:durableId="885140904">
    <w:abstractNumId w:val="13"/>
  </w:num>
  <w:num w:numId="5" w16cid:durableId="391781126">
    <w:abstractNumId w:val="3"/>
  </w:num>
  <w:num w:numId="6" w16cid:durableId="655451668">
    <w:abstractNumId w:val="12"/>
  </w:num>
  <w:num w:numId="7" w16cid:durableId="340132643">
    <w:abstractNumId w:val="5"/>
  </w:num>
  <w:num w:numId="8" w16cid:durableId="1471484821">
    <w:abstractNumId w:val="8"/>
  </w:num>
  <w:num w:numId="9" w16cid:durableId="674302379">
    <w:abstractNumId w:val="6"/>
  </w:num>
  <w:num w:numId="10" w16cid:durableId="1513455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549205">
    <w:abstractNumId w:val="7"/>
  </w:num>
  <w:num w:numId="12" w16cid:durableId="1484422677">
    <w:abstractNumId w:val="15"/>
  </w:num>
  <w:num w:numId="13" w16cid:durableId="1441223148">
    <w:abstractNumId w:val="9"/>
  </w:num>
  <w:num w:numId="14" w16cid:durableId="602615677">
    <w:abstractNumId w:val="5"/>
  </w:num>
  <w:num w:numId="15" w16cid:durableId="1281299880">
    <w:abstractNumId w:val="5"/>
  </w:num>
  <w:num w:numId="16" w16cid:durableId="1250699191">
    <w:abstractNumId w:val="5"/>
  </w:num>
  <w:num w:numId="17" w16cid:durableId="1877278785">
    <w:abstractNumId w:val="5"/>
  </w:num>
  <w:num w:numId="18" w16cid:durableId="1273393427">
    <w:abstractNumId w:val="5"/>
  </w:num>
  <w:num w:numId="19" w16cid:durableId="2082553488">
    <w:abstractNumId w:val="5"/>
  </w:num>
  <w:num w:numId="20" w16cid:durableId="897207617">
    <w:abstractNumId w:val="5"/>
  </w:num>
  <w:num w:numId="21" w16cid:durableId="877545663">
    <w:abstractNumId w:val="5"/>
  </w:num>
  <w:num w:numId="22" w16cid:durableId="2039699408">
    <w:abstractNumId w:val="5"/>
  </w:num>
  <w:num w:numId="23" w16cid:durableId="1483158681">
    <w:abstractNumId w:val="5"/>
  </w:num>
  <w:num w:numId="24" w16cid:durableId="1719011095">
    <w:abstractNumId w:val="5"/>
  </w:num>
  <w:num w:numId="25" w16cid:durableId="1390302239">
    <w:abstractNumId w:val="5"/>
  </w:num>
  <w:num w:numId="26" w16cid:durableId="12694634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BCA"/>
    <w:rsid w:val="0000089D"/>
    <w:rsid w:val="00001CA1"/>
    <w:rsid w:val="000021D3"/>
    <w:rsid w:val="000025DB"/>
    <w:rsid w:val="00002C5A"/>
    <w:rsid w:val="0000362D"/>
    <w:rsid w:val="00005720"/>
    <w:rsid w:val="000068D0"/>
    <w:rsid w:val="000068F0"/>
    <w:rsid w:val="0000749C"/>
    <w:rsid w:val="00007901"/>
    <w:rsid w:val="0000793A"/>
    <w:rsid w:val="00010370"/>
    <w:rsid w:val="00011052"/>
    <w:rsid w:val="00011940"/>
    <w:rsid w:val="00011D54"/>
    <w:rsid w:val="00013BC8"/>
    <w:rsid w:val="00013D19"/>
    <w:rsid w:val="0001493D"/>
    <w:rsid w:val="000149F1"/>
    <w:rsid w:val="0001562E"/>
    <w:rsid w:val="00016169"/>
    <w:rsid w:val="00016778"/>
    <w:rsid w:val="00016C3E"/>
    <w:rsid w:val="00017563"/>
    <w:rsid w:val="0001796C"/>
    <w:rsid w:val="00017A48"/>
    <w:rsid w:val="00017E57"/>
    <w:rsid w:val="000200BC"/>
    <w:rsid w:val="00020396"/>
    <w:rsid w:val="0002061C"/>
    <w:rsid w:val="000207E6"/>
    <w:rsid w:val="00022128"/>
    <w:rsid w:val="000223C0"/>
    <w:rsid w:val="000223D6"/>
    <w:rsid w:val="000238E4"/>
    <w:rsid w:val="00023C28"/>
    <w:rsid w:val="000248F7"/>
    <w:rsid w:val="0002592D"/>
    <w:rsid w:val="00026CFF"/>
    <w:rsid w:val="00027FF9"/>
    <w:rsid w:val="00030545"/>
    <w:rsid w:val="0003079D"/>
    <w:rsid w:val="0003175B"/>
    <w:rsid w:val="00031C98"/>
    <w:rsid w:val="00031D2C"/>
    <w:rsid w:val="00032524"/>
    <w:rsid w:val="000332BC"/>
    <w:rsid w:val="000334E7"/>
    <w:rsid w:val="0003401F"/>
    <w:rsid w:val="00035658"/>
    <w:rsid w:val="000356E7"/>
    <w:rsid w:val="00035DEC"/>
    <w:rsid w:val="00036408"/>
    <w:rsid w:val="000372E9"/>
    <w:rsid w:val="00037492"/>
    <w:rsid w:val="00037495"/>
    <w:rsid w:val="00037534"/>
    <w:rsid w:val="000375FD"/>
    <w:rsid w:val="000401F3"/>
    <w:rsid w:val="00040745"/>
    <w:rsid w:val="00041225"/>
    <w:rsid w:val="0004240A"/>
    <w:rsid w:val="00042565"/>
    <w:rsid w:val="00045110"/>
    <w:rsid w:val="00045C90"/>
    <w:rsid w:val="00047614"/>
    <w:rsid w:val="00047850"/>
    <w:rsid w:val="00047E85"/>
    <w:rsid w:val="0005059A"/>
    <w:rsid w:val="00051E42"/>
    <w:rsid w:val="000539A0"/>
    <w:rsid w:val="00053A78"/>
    <w:rsid w:val="00053C7B"/>
    <w:rsid w:val="000544CB"/>
    <w:rsid w:val="00054BC3"/>
    <w:rsid w:val="00055356"/>
    <w:rsid w:val="00055BD1"/>
    <w:rsid w:val="000569B2"/>
    <w:rsid w:val="00056A04"/>
    <w:rsid w:val="00057191"/>
    <w:rsid w:val="00057989"/>
    <w:rsid w:val="000604FF"/>
    <w:rsid w:val="00060EE4"/>
    <w:rsid w:val="000619A4"/>
    <w:rsid w:val="00062A9F"/>
    <w:rsid w:val="00063333"/>
    <w:rsid w:val="00064EF2"/>
    <w:rsid w:val="000651C3"/>
    <w:rsid w:val="00065B4F"/>
    <w:rsid w:val="00066353"/>
    <w:rsid w:val="0006665C"/>
    <w:rsid w:val="00066771"/>
    <w:rsid w:val="0006696E"/>
    <w:rsid w:val="00067DE2"/>
    <w:rsid w:val="000701EA"/>
    <w:rsid w:val="000704A8"/>
    <w:rsid w:val="00070519"/>
    <w:rsid w:val="00070986"/>
    <w:rsid w:val="000715FB"/>
    <w:rsid w:val="00074962"/>
    <w:rsid w:val="000768E2"/>
    <w:rsid w:val="000801DC"/>
    <w:rsid w:val="000804E1"/>
    <w:rsid w:val="00080C9A"/>
    <w:rsid w:val="00080CA3"/>
    <w:rsid w:val="00081F56"/>
    <w:rsid w:val="00082D6D"/>
    <w:rsid w:val="0008341A"/>
    <w:rsid w:val="00083A91"/>
    <w:rsid w:val="00083AB7"/>
    <w:rsid w:val="000848F1"/>
    <w:rsid w:val="00086870"/>
    <w:rsid w:val="00086996"/>
    <w:rsid w:val="0008768B"/>
    <w:rsid w:val="000876C9"/>
    <w:rsid w:val="00090190"/>
    <w:rsid w:val="000904F2"/>
    <w:rsid w:val="00090C56"/>
    <w:rsid w:val="0009371C"/>
    <w:rsid w:val="00094E3D"/>
    <w:rsid w:val="00095339"/>
    <w:rsid w:val="00095625"/>
    <w:rsid w:val="00096487"/>
    <w:rsid w:val="00096A56"/>
    <w:rsid w:val="000A0029"/>
    <w:rsid w:val="000A0658"/>
    <w:rsid w:val="000A0EDD"/>
    <w:rsid w:val="000A0EF7"/>
    <w:rsid w:val="000A1254"/>
    <w:rsid w:val="000A1567"/>
    <w:rsid w:val="000A2207"/>
    <w:rsid w:val="000A2305"/>
    <w:rsid w:val="000A24F1"/>
    <w:rsid w:val="000A5989"/>
    <w:rsid w:val="000A6BCD"/>
    <w:rsid w:val="000B254B"/>
    <w:rsid w:val="000B272D"/>
    <w:rsid w:val="000B2CF1"/>
    <w:rsid w:val="000B30A4"/>
    <w:rsid w:val="000B3F07"/>
    <w:rsid w:val="000B404A"/>
    <w:rsid w:val="000B44B0"/>
    <w:rsid w:val="000B4631"/>
    <w:rsid w:val="000B55E0"/>
    <w:rsid w:val="000B6882"/>
    <w:rsid w:val="000C14FC"/>
    <w:rsid w:val="000C1AB2"/>
    <w:rsid w:val="000C1BFC"/>
    <w:rsid w:val="000C2164"/>
    <w:rsid w:val="000C27A0"/>
    <w:rsid w:val="000C2C8E"/>
    <w:rsid w:val="000C301E"/>
    <w:rsid w:val="000C47D5"/>
    <w:rsid w:val="000C4A87"/>
    <w:rsid w:val="000C5297"/>
    <w:rsid w:val="000C5827"/>
    <w:rsid w:val="000D01BF"/>
    <w:rsid w:val="000D12A0"/>
    <w:rsid w:val="000D2B1E"/>
    <w:rsid w:val="000D2F1D"/>
    <w:rsid w:val="000D4D20"/>
    <w:rsid w:val="000D66B0"/>
    <w:rsid w:val="000D6A24"/>
    <w:rsid w:val="000D7273"/>
    <w:rsid w:val="000D77B1"/>
    <w:rsid w:val="000E179E"/>
    <w:rsid w:val="000E1983"/>
    <w:rsid w:val="000E1D36"/>
    <w:rsid w:val="000E2599"/>
    <w:rsid w:val="000E2F33"/>
    <w:rsid w:val="000E43B1"/>
    <w:rsid w:val="000E5CB5"/>
    <w:rsid w:val="000E604F"/>
    <w:rsid w:val="000E7149"/>
    <w:rsid w:val="000E7FC0"/>
    <w:rsid w:val="000F0CBC"/>
    <w:rsid w:val="000F3232"/>
    <w:rsid w:val="000F45F2"/>
    <w:rsid w:val="000F5900"/>
    <w:rsid w:val="000F619F"/>
    <w:rsid w:val="000F65C5"/>
    <w:rsid w:val="000F74A4"/>
    <w:rsid w:val="00100CA9"/>
    <w:rsid w:val="00101144"/>
    <w:rsid w:val="00101B3F"/>
    <w:rsid w:val="00102168"/>
    <w:rsid w:val="00102D94"/>
    <w:rsid w:val="001030F9"/>
    <w:rsid w:val="00103960"/>
    <w:rsid w:val="00104FD0"/>
    <w:rsid w:val="00105143"/>
    <w:rsid w:val="0010726D"/>
    <w:rsid w:val="001076BE"/>
    <w:rsid w:val="001079AA"/>
    <w:rsid w:val="00110155"/>
    <w:rsid w:val="00110447"/>
    <w:rsid w:val="001121A9"/>
    <w:rsid w:val="0011246C"/>
    <w:rsid w:val="00112639"/>
    <w:rsid w:val="00113B03"/>
    <w:rsid w:val="00113B91"/>
    <w:rsid w:val="00114902"/>
    <w:rsid w:val="00114D11"/>
    <w:rsid w:val="0011511A"/>
    <w:rsid w:val="001159AB"/>
    <w:rsid w:val="001159C6"/>
    <w:rsid w:val="001164AC"/>
    <w:rsid w:val="00116A12"/>
    <w:rsid w:val="00117F8A"/>
    <w:rsid w:val="00120817"/>
    <w:rsid w:val="00121165"/>
    <w:rsid w:val="00121DC2"/>
    <w:rsid w:val="00121FBE"/>
    <w:rsid w:val="00122606"/>
    <w:rsid w:val="00123B03"/>
    <w:rsid w:val="00124A21"/>
    <w:rsid w:val="00126180"/>
    <w:rsid w:val="0012623B"/>
    <w:rsid w:val="00127503"/>
    <w:rsid w:val="00130320"/>
    <w:rsid w:val="0013113F"/>
    <w:rsid w:val="00131514"/>
    <w:rsid w:val="00131DB0"/>
    <w:rsid w:val="00132F87"/>
    <w:rsid w:val="00133CBB"/>
    <w:rsid w:val="0013405D"/>
    <w:rsid w:val="0013424D"/>
    <w:rsid w:val="001349E1"/>
    <w:rsid w:val="00135055"/>
    <w:rsid w:val="00137580"/>
    <w:rsid w:val="001377CE"/>
    <w:rsid w:val="00140315"/>
    <w:rsid w:val="00140C69"/>
    <w:rsid w:val="00141130"/>
    <w:rsid w:val="001411F0"/>
    <w:rsid w:val="001419EB"/>
    <w:rsid w:val="00141B7E"/>
    <w:rsid w:val="0014224D"/>
    <w:rsid w:val="00143588"/>
    <w:rsid w:val="001451DB"/>
    <w:rsid w:val="0014582B"/>
    <w:rsid w:val="00145A6F"/>
    <w:rsid w:val="00147178"/>
    <w:rsid w:val="00147A20"/>
    <w:rsid w:val="00147EB1"/>
    <w:rsid w:val="001502B2"/>
    <w:rsid w:val="001502CE"/>
    <w:rsid w:val="0015076F"/>
    <w:rsid w:val="001515D0"/>
    <w:rsid w:val="001515F4"/>
    <w:rsid w:val="00152F89"/>
    <w:rsid w:val="001537B8"/>
    <w:rsid w:val="00153F7B"/>
    <w:rsid w:val="001541DF"/>
    <w:rsid w:val="001544B0"/>
    <w:rsid w:val="001544FF"/>
    <w:rsid w:val="00154BCA"/>
    <w:rsid w:val="001558DA"/>
    <w:rsid w:val="0015594B"/>
    <w:rsid w:val="0015703D"/>
    <w:rsid w:val="001577A2"/>
    <w:rsid w:val="00160277"/>
    <w:rsid w:val="00161159"/>
    <w:rsid w:val="0016247E"/>
    <w:rsid w:val="0016270E"/>
    <w:rsid w:val="001633D9"/>
    <w:rsid w:val="00163FDA"/>
    <w:rsid w:val="00164C97"/>
    <w:rsid w:val="00165AA8"/>
    <w:rsid w:val="00165DFB"/>
    <w:rsid w:val="00166391"/>
    <w:rsid w:val="00167621"/>
    <w:rsid w:val="00167E49"/>
    <w:rsid w:val="001703FE"/>
    <w:rsid w:val="00170E52"/>
    <w:rsid w:val="00171476"/>
    <w:rsid w:val="001723E1"/>
    <w:rsid w:val="00172CDF"/>
    <w:rsid w:val="00176D44"/>
    <w:rsid w:val="0017742B"/>
    <w:rsid w:val="001779B8"/>
    <w:rsid w:val="0018092F"/>
    <w:rsid w:val="00181957"/>
    <w:rsid w:val="00181EA1"/>
    <w:rsid w:val="0018224D"/>
    <w:rsid w:val="00182690"/>
    <w:rsid w:val="00182A03"/>
    <w:rsid w:val="001832B0"/>
    <w:rsid w:val="0018361A"/>
    <w:rsid w:val="00183663"/>
    <w:rsid w:val="001838F5"/>
    <w:rsid w:val="001851C6"/>
    <w:rsid w:val="001852EE"/>
    <w:rsid w:val="001855BF"/>
    <w:rsid w:val="00185A8C"/>
    <w:rsid w:val="00185CE7"/>
    <w:rsid w:val="00187061"/>
    <w:rsid w:val="0018758A"/>
    <w:rsid w:val="001903DE"/>
    <w:rsid w:val="00192621"/>
    <w:rsid w:val="00192C78"/>
    <w:rsid w:val="00193AF1"/>
    <w:rsid w:val="00193C2F"/>
    <w:rsid w:val="00193DC3"/>
    <w:rsid w:val="00193F9C"/>
    <w:rsid w:val="001945DE"/>
    <w:rsid w:val="00194F30"/>
    <w:rsid w:val="00195B13"/>
    <w:rsid w:val="0019693D"/>
    <w:rsid w:val="00196F2C"/>
    <w:rsid w:val="001976B3"/>
    <w:rsid w:val="001A034C"/>
    <w:rsid w:val="001A1203"/>
    <w:rsid w:val="001A2443"/>
    <w:rsid w:val="001A2781"/>
    <w:rsid w:val="001A2BBA"/>
    <w:rsid w:val="001A2F25"/>
    <w:rsid w:val="001A3546"/>
    <w:rsid w:val="001A4D49"/>
    <w:rsid w:val="001A55D9"/>
    <w:rsid w:val="001A79B5"/>
    <w:rsid w:val="001B0BF6"/>
    <w:rsid w:val="001B1752"/>
    <w:rsid w:val="001B1AE8"/>
    <w:rsid w:val="001B292C"/>
    <w:rsid w:val="001B40EE"/>
    <w:rsid w:val="001B4520"/>
    <w:rsid w:val="001B4CC1"/>
    <w:rsid w:val="001B4CCB"/>
    <w:rsid w:val="001B5251"/>
    <w:rsid w:val="001B534B"/>
    <w:rsid w:val="001B6721"/>
    <w:rsid w:val="001B7657"/>
    <w:rsid w:val="001B79C4"/>
    <w:rsid w:val="001B7CE7"/>
    <w:rsid w:val="001C05FF"/>
    <w:rsid w:val="001C1853"/>
    <w:rsid w:val="001C33AE"/>
    <w:rsid w:val="001C513B"/>
    <w:rsid w:val="001C606A"/>
    <w:rsid w:val="001C78E8"/>
    <w:rsid w:val="001C7E2B"/>
    <w:rsid w:val="001D041F"/>
    <w:rsid w:val="001D047E"/>
    <w:rsid w:val="001D1D70"/>
    <w:rsid w:val="001D242D"/>
    <w:rsid w:val="001D2917"/>
    <w:rsid w:val="001D29F6"/>
    <w:rsid w:val="001D41A1"/>
    <w:rsid w:val="001D4D2C"/>
    <w:rsid w:val="001D592F"/>
    <w:rsid w:val="001D749F"/>
    <w:rsid w:val="001D75E8"/>
    <w:rsid w:val="001D7D3D"/>
    <w:rsid w:val="001E04A9"/>
    <w:rsid w:val="001E0E5D"/>
    <w:rsid w:val="001E111C"/>
    <w:rsid w:val="001E130F"/>
    <w:rsid w:val="001E1B17"/>
    <w:rsid w:val="001E2A33"/>
    <w:rsid w:val="001E34B5"/>
    <w:rsid w:val="001E358D"/>
    <w:rsid w:val="001E3F70"/>
    <w:rsid w:val="001E430A"/>
    <w:rsid w:val="001E472C"/>
    <w:rsid w:val="001E4D6B"/>
    <w:rsid w:val="001E531D"/>
    <w:rsid w:val="001E5DBE"/>
    <w:rsid w:val="001E5EF3"/>
    <w:rsid w:val="001E6C60"/>
    <w:rsid w:val="001E70DB"/>
    <w:rsid w:val="001E7813"/>
    <w:rsid w:val="001F02A2"/>
    <w:rsid w:val="001F03E9"/>
    <w:rsid w:val="001F1817"/>
    <w:rsid w:val="001F212D"/>
    <w:rsid w:val="001F2AA0"/>
    <w:rsid w:val="001F2B83"/>
    <w:rsid w:val="001F305A"/>
    <w:rsid w:val="001F33E4"/>
    <w:rsid w:val="001F3910"/>
    <w:rsid w:val="001F4810"/>
    <w:rsid w:val="001F5647"/>
    <w:rsid w:val="001F6A5C"/>
    <w:rsid w:val="001F72A8"/>
    <w:rsid w:val="001F7D3C"/>
    <w:rsid w:val="00200DCB"/>
    <w:rsid w:val="00201918"/>
    <w:rsid w:val="00201D11"/>
    <w:rsid w:val="00201DED"/>
    <w:rsid w:val="0020210E"/>
    <w:rsid w:val="00203E4D"/>
    <w:rsid w:val="002050D0"/>
    <w:rsid w:val="00205423"/>
    <w:rsid w:val="0020588C"/>
    <w:rsid w:val="00205A9A"/>
    <w:rsid w:val="0020666C"/>
    <w:rsid w:val="00206AC9"/>
    <w:rsid w:val="00206D79"/>
    <w:rsid w:val="00206F3D"/>
    <w:rsid w:val="002071F1"/>
    <w:rsid w:val="002073A9"/>
    <w:rsid w:val="00211DB2"/>
    <w:rsid w:val="00213303"/>
    <w:rsid w:val="00213431"/>
    <w:rsid w:val="00213931"/>
    <w:rsid w:val="002141DF"/>
    <w:rsid w:val="002168B9"/>
    <w:rsid w:val="00216910"/>
    <w:rsid w:val="00217197"/>
    <w:rsid w:val="002205A8"/>
    <w:rsid w:val="00221ADF"/>
    <w:rsid w:val="002225EF"/>
    <w:rsid w:val="0022318A"/>
    <w:rsid w:val="00225D29"/>
    <w:rsid w:val="00226E56"/>
    <w:rsid w:val="00227547"/>
    <w:rsid w:val="00230AE9"/>
    <w:rsid w:val="002310A9"/>
    <w:rsid w:val="00231AF8"/>
    <w:rsid w:val="00233386"/>
    <w:rsid w:val="00233D31"/>
    <w:rsid w:val="002355E8"/>
    <w:rsid w:val="002360EA"/>
    <w:rsid w:val="002362EF"/>
    <w:rsid w:val="002363CC"/>
    <w:rsid w:val="002369DB"/>
    <w:rsid w:val="002371D6"/>
    <w:rsid w:val="00237626"/>
    <w:rsid w:val="002376BB"/>
    <w:rsid w:val="00237928"/>
    <w:rsid w:val="002400DE"/>
    <w:rsid w:val="00241CAF"/>
    <w:rsid w:val="00241DC2"/>
    <w:rsid w:val="002438F8"/>
    <w:rsid w:val="00243BAC"/>
    <w:rsid w:val="002441C0"/>
    <w:rsid w:val="00244661"/>
    <w:rsid w:val="0024547C"/>
    <w:rsid w:val="002455E3"/>
    <w:rsid w:val="00245BBA"/>
    <w:rsid w:val="00246BDD"/>
    <w:rsid w:val="00247D75"/>
    <w:rsid w:val="00250C34"/>
    <w:rsid w:val="0025172B"/>
    <w:rsid w:val="00251E3A"/>
    <w:rsid w:val="00252FBF"/>
    <w:rsid w:val="002533E7"/>
    <w:rsid w:val="0025381F"/>
    <w:rsid w:val="00253CDE"/>
    <w:rsid w:val="00255088"/>
    <w:rsid w:val="00256278"/>
    <w:rsid w:val="002567C5"/>
    <w:rsid w:val="00257891"/>
    <w:rsid w:val="00260815"/>
    <w:rsid w:val="00261EB9"/>
    <w:rsid w:val="0026372A"/>
    <w:rsid w:val="00264662"/>
    <w:rsid w:val="00266981"/>
    <w:rsid w:val="00266C08"/>
    <w:rsid w:val="0027183B"/>
    <w:rsid w:val="00271CEA"/>
    <w:rsid w:val="00272257"/>
    <w:rsid w:val="0027347E"/>
    <w:rsid w:val="00275144"/>
    <w:rsid w:val="00275A6F"/>
    <w:rsid w:val="0027616A"/>
    <w:rsid w:val="00276938"/>
    <w:rsid w:val="002769B3"/>
    <w:rsid w:val="002772D4"/>
    <w:rsid w:val="00277991"/>
    <w:rsid w:val="00277B5F"/>
    <w:rsid w:val="00280215"/>
    <w:rsid w:val="002806AB"/>
    <w:rsid w:val="00283393"/>
    <w:rsid w:val="00283F51"/>
    <w:rsid w:val="0028588B"/>
    <w:rsid w:val="00290ECA"/>
    <w:rsid w:val="002917EF"/>
    <w:rsid w:val="00291D76"/>
    <w:rsid w:val="00291E5E"/>
    <w:rsid w:val="00293ABC"/>
    <w:rsid w:val="00295061"/>
    <w:rsid w:val="002955F9"/>
    <w:rsid w:val="00296E25"/>
    <w:rsid w:val="00296E63"/>
    <w:rsid w:val="00297E12"/>
    <w:rsid w:val="002A0473"/>
    <w:rsid w:val="002A0B56"/>
    <w:rsid w:val="002A101F"/>
    <w:rsid w:val="002A1901"/>
    <w:rsid w:val="002A2B84"/>
    <w:rsid w:val="002A2CD0"/>
    <w:rsid w:val="002A3000"/>
    <w:rsid w:val="002A32A0"/>
    <w:rsid w:val="002A3B53"/>
    <w:rsid w:val="002A3BEF"/>
    <w:rsid w:val="002A48A6"/>
    <w:rsid w:val="002A5AB6"/>
    <w:rsid w:val="002A5B6A"/>
    <w:rsid w:val="002A5D6C"/>
    <w:rsid w:val="002A7F50"/>
    <w:rsid w:val="002B2504"/>
    <w:rsid w:val="002B409D"/>
    <w:rsid w:val="002B48C2"/>
    <w:rsid w:val="002B495E"/>
    <w:rsid w:val="002B4ACA"/>
    <w:rsid w:val="002B58F9"/>
    <w:rsid w:val="002B5C5B"/>
    <w:rsid w:val="002B5DD4"/>
    <w:rsid w:val="002B6CCC"/>
    <w:rsid w:val="002B7286"/>
    <w:rsid w:val="002B7C99"/>
    <w:rsid w:val="002B7CF8"/>
    <w:rsid w:val="002C0846"/>
    <w:rsid w:val="002C205A"/>
    <w:rsid w:val="002C20EE"/>
    <w:rsid w:val="002C2E32"/>
    <w:rsid w:val="002C2F59"/>
    <w:rsid w:val="002C38BA"/>
    <w:rsid w:val="002C4D0E"/>
    <w:rsid w:val="002C68C2"/>
    <w:rsid w:val="002D0502"/>
    <w:rsid w:val="002D2E85"/>
    <w:rsid w:val="002D3EF4"/>
    <w:rsid w:val="002D5B12"/>
    <w:rsid w:val="002D5C1E"/>
    <w:rsid w:val="002D665D"/>
    <w:rsid w:val="002D69F1"/>
    <w:rsid w:val="002D765F"/>
    <w:rsid w:val="002E1238"/>
    <w:rsid w:val="002E1463"/>
    <w:rsid w:val="002E2499"/>
    <w:rsid w:val="002E3329"/>
    <w:rsid w:val="002E47EE"/>
    <w:rsid w:val="002E48FC"/>
    <w:rsid w:val="002E5C84"/>
    <w:rsid w:val="002E67FD"/>
    <w:rsid w:val="002E7339"/>
    <w:rsid w:val="002E74E8"/>
    <w:rsid w:val="002E789E"/>
    <w:rsid w:val="002F034C"/>
    <w:rsid w:val="002F0EDE"/>
    <w:rsid w:val="002F12E6"/>
    <w:rsid w:val="002F1F67"/>
    <w:rsid w:val="002F2759"/>
    <w:rsid w:val="002F3B79"/>
    <w:rsid w:val="002F3D89"/>
    <w:rsid w:val="002F4728"/>
    <w:rsid w:val="002F51DA"/>
    <w:rsid w:val="002F645F"/>
    <w:rsid w:val="002F68A3"/>
    <w:rsid w:val="002F6919"/>
    <w:rsid w:val="002F6C3C"/>
    <w:rsid w:val="002F72F2"/>
    <w:rsid w:val="002F76A9"/>
    <w:rsid w:val="002F7EFF"/>
    <w:rsid w:val="0030176E"/>
    <w:rsid w:val="00303732"/>
    <w:rsid w:val="00303BEF"/>
    <w:rsid w:val="003047B7"/>
    <w:rsid w:val="00304D7C"/>
    <w:rsid w:val="003056F7"/>
    <w:rsid w:val="003058E6"/>
    <w:rsid w:val="00305BF0"/>
    <w:rsid w:val="00306E6D"/>
    <w:rsid w:val="00312D58"/>
    <w:rsid w:val="003142F0"/>
    <w:rsid w:val="00315E1D"/>
    <w:rsid w:val="003164D9"/>
    <w:rsid w:val="003172E7"/>
    <w:rsid w:val="003178BB"/>
    <w:rsid w:val="00321163"/>
    <w:rsid w:val="0032228A"/>
    <w:rsid w:val="0032262B"/>
    <w:rsid w:val="00322645"/>
    <w:rsid w:val="003232DF"/>
    <w:rsid w:val="00323813"/>
    <w:rsid w:val="00323E86"/>
    <w:rsid w:val="0032464C"/>
    <w:rsid w:val="00324F51"/>
    <w:rsid w:val="003253A2"/>
    <w:rsid w:val="003268E6"/>
    <w:rsid w:val="003271CF"/>
    <w:rsid w:val="003276A7"/>
    <w:rsid w:val="003276AD"/>
    <w:rsid w:val="00330B53"/>
    <w:rsid w:val="00330B5B"/>
    <w:rsid w:val="00330F56"/>
    <w:rsid w:val="00331103"/>
    <w:rsid w:val="0033161F"/>
    <w:rsid w:val="0033186A"/>
    <w:rsid w:val="00331CB2"/>
    <w:rsid w:val="00331F35"/>
    <w:rsid w:val="003322A1"/>
    <w:rsid w:val="00332322"/>
    <w:rsid w:val="0033303E"/>
    <w:rsid w:val="00333ABE"/>
    <w:rsid w:val="00333B65"/>
    <w:rsid w:val="00334151"/>
    <w:rsid w:val="003347B1"/>
    <w:rsid w:val="003348EF"/>
    <w:rsid w:val="00334D5D"/>
    <w:rsid w:val="003351B4"/>
    <w:rsid w:val="00335465"/>
    <w:rsid w:val="003360A2"/>
    <w:rsid w:val="0033749B"/>
    <w:rsid w:val="003401B5"/>
    <w:rsid w:val="0034135B"/>
    <w:rsid w:val="0034159E"/>
    <w:rsid w:val="003428B0"/>
    <w:rsid w:val="00343336"/>
    <w:rsid w:val="00343828"/>
    <w:rsid w:val="00344118"/>
    <w:rsid w:val="00344475"/>
    <w:rsid w:val="0034472E"/>
    <w:rsid w:val="00345506"/>
    <w:rsid w:val="0034633E"/>
    <w:rsid w:val="0034640A"/>
    <w:rsid w:val="0034657E"/>
    <w:rsid w:val="00346F77"/>
    <w:rsid w:val="003470C0"/>
    <w:rsid w:val="00351047"/>
    <w:rsid w:val="00351062"/>
    <w:rsid w:val="0035115D"/>
    <w:rsid w:val="00351A5E"/>
    <w:rsid w:val="00351ABE"/>
    <w:rsid w:val="00351B51"/>
    <w:rsid w:val="00352658"/>
    <w:rsid w:val="00352701"/>
    <w:rsid w:val="00353CD7"/>
    <w:rsid w:val="003547EA"/>
    <w:rsid w:val="00354D56"/>
    <w:rsid w:val="00356563"/>
    <w:rsid w:val="00356E74"/>
    <w:rsid w:val="003570AB"/>
    <w:rsid w:val="003575A9"/>
    <w:rsid w:val="00357816"/>
    <w:rsid w:val="003613EA"/>
    <w:rsid w:val="0036187E"/>
    <w:rsid w:val="003633FE"/>
    <w:rsid w:val="00363680"/>
    <w:rsid w:val="003639FF"/>
    <w:rsid w:val="00363F43"/>
    <w:rsid w:val="003641F5"/>
    <w:rsid w:val="00364DF2"/>
    <w:rsid w:val="003652F1"/>
    <w:rsid w:val="003655CF"/>
    <w:rsid w:val="00365CB4"/>
    <w:rsid w:val="00366324"/>
    <w:rsid w:val="003670FC"/>
    <w:rsid w:val="00370505"/>
    <w:rsid w:val="00370A60"/>
    <w:rsid w:val="00370DFB"/>
    <w:rsid w:val="00370FC9"/>
    <w:rsid w:val="0037155B"/>
    <w:rsid w:val="00371590"/>
    <w:rsid w:val="00371FF3"/>
    <w:rsid w:val="00372484"/>
    <w:rsid w:val="00372E5E"/>
    <w:rsid w:val="003737BA"/>
    <w:rsid w:val="00373896"/>
    <w:rsid w:val="003749B8"/>
    <w:rsid w:val="00374DA0"/>
    <w:rsid w:val="003764DC"/>
    <w:rsid w:val="00376989"/>
    <w:rsid w:val="003772E2"/>
    <w:rsid w:val="00380062"/>
    <w:rsid w:val="003802DF"/>
    <w:rsid w:val="003802E7"/>
    <w:rsid w:val="003806AA"/>
    <w:rsid w:val="00380B00"/>
    <w:rsid w:val="00381385"/>
    <w:rsid w:val="00384317"/>
    <w:rsid w:val="003843CA"/>
    <w:rsid w:val="00384FF7"/>
    <w:rsid w:val="003851BF"/>
    <w:rsid w:val="00385B26"/>
    <w:rsid w:val="00386B58"/>
    <w:rsid w:val="00386DCF"/>
    <w:rsid w:val="00387381"/>
    <w:rsid w:val="00387384"/>
    <w:rsid w:val="0038776F"/>
    <w:rsid w:val="00391195"/>
    <w:rsid w:val="00391342"/>
    <w:rsid w:val="003914C2"/>
    <w:rsid w:val="00391B01"/>
    <w:rsid w:val="00391C31"/>
    <w:rsid w:val="00393342"/>
    <w:rsid w:val="0039378C"/>
    <w:rsid w:val="003937E6"/>
    <w:rsid w:val="00394B2C"/>
    <w:rsid w:val="00394BCF"/>
    <w:rsid w:val="00395892"/>
    <w:rsid w:val="00395ADB"/>
    <w:rsid w:val="003961C6"/>
    <w:rsid w:val="003965C2"/>
    <w:rsid w:val="00396F88"/>
    <w:rsid w:val="003A206E"/>
    <w:rsid w:val="003A2F25"/>
    <w:rsid w:val="003A3A36"/>
    <w:rsid w:val="003A3BAC"/>
    <w:rsid w:val="003A440D"/>
    <w:rsid w:val="003A492B"/>
    <w:rsid w:val="003A51A3"/>
    <w:rsid w:val="003A629C"/>
    <w:rsid w:val="003A6778"/>
    <w:rsid w:val="003A6DEE"/>
    <w:rsid w:val="003A734E"/>
    <w:rsid w:val="003B0B7A"/>
    <w:rsid w:val="003B13D9"/>
    <w:rsid w:val="003B1686"/>
    <w:rsid w:val="003B1A76"/>
    <w:rsid w:val="003B4FB3"/>
    <w:rsid w:val="003B50DF"/>
    <w:rsid w:val="003B6EBD"/>
    <w:rsid w:val="003B7635"/>
    <w:rsid w:val="003B7808"/>
    <w:rsid w:val="003B7D1F"/>
    <w:rsid w:val="003C1360"/>
    <w:rsid w:val="003C245D"/>
    <w:rsid w:val="003C2E78"/>
    <w:rsid w:val="003C3AB7"/>
    <w:rsid w:val="003C3E3E"/>
    <w:rsid w:val="003C50EF"/>
    <w:rsid w:val="003C5149"/>
    <w:rsid w:val="003C51F2"/>
    <w:rsid w:val="003C5E39"/>
    <w:rsid w:val="003C62AC"/>
    <w:rsid w:val="003C7CDD"/>
    <w:rsid w:val="003D0243"/>
    <w:rsid w:val="003D0764"/>
    <w:rsid w:val="003D09B3"/>
    <w:rsid w:val="003D0ABA"/>
    <w:rsid w:val="003D0E64"/>
    <w:rsid w:val="003D0ED3"/>
    <w:rsid w:val="003D103D"/>
    <w:rsid w:val="003D15CD"/>
    <w:rsid w:val="003D171F"/>
    <w:rsid w:val="003D17D8"/>
    <w:rsid w:val="003D1A2B"/>
    <w:rsid w:val="003D264B"/>
    <w:rsid w:val="003D379B"/>
    <w:rsid w:val="003D3FC8"/>
    <w:rsid w:val="003D4DD0"/>
    <w:rsid w:val="003D4E10"/>
    <w:rsid w:val="003D4EEF"/>
    <w:rsid w:val="003D5F66"/>
    <w:rsid w:val="003D67B0"/>
    <w:rsid w:val="003D682B"/>
    <w:rsid w:val="003D7B07"/>
    <w:rsid w:val="003E07FB"/>
    <w:rsid w:val="003E0936"/>
    <w:rsid w:val="003E2252"/>
    <w:rsid w:val="003E36A9"/>
    <w:rsid w:val="003E3B06"/>
    <w:rsid w:val="003E45E5"/>
    <w:rsid w:val="003E4E96"/>
    <w:rsid w:val="003E5484"/>
    <w:rsid w:val="003E576E"/>
    <w:rsid w:val="003E6248"/>
    <w:rsid w:val="003E6351"/>
    <w:rsid w:val="003E7274"/>
    <w:rsid w:val="003E72C4"/>
    <w:rsid w:val="003E7A56"/>
    <w:rsid w:val="003F47CE"/>
    <w:rsid w:val="003F59E4"/>
    <w:rsid w:val="003F5B87"/>
    <w:rsid w:val="003F6149"/>
    <w:rsid w:val="003F62B3"/>
    <w:rsid w:val="004001E4"/>
    <w:rsid w:val="00400567"/>
    <w:rsid w:val="004019BE"/>
    <w:rsid w:val="0040293B"/>
    <w:rsid w:val="00403E9A"/>
    <w:rsid w:val="004041FA"/>
    <w:rsid w:val="0040504A"/>
    <w:rsid w:val="004058BF"/>
    <w:rsid w:val="00407341"/>
    <w:rsid w:val="004073D1"/>
    <w:rsid w:val="004076BD"/>
    <w:rsid w:val="00407991"/>
    <w:rsid w:val="00412248"/>
    <w:rsid w:val="004126A6"/>
    <w:rsid w:val="00412F60"/>
    <w:rsid w:val="00414698"/>
    <w:rsid w:val="00415546"/>
    <w:rsid w:val="00416AE5"/>
    <w:rsid w:val="00417854"/>
    <w:rsid w:val="00417B96"/>
    <w:rsid w:val="004211EB"/>
    <w:rsid w:val="004215EC"/>
    <w:rsid w:val="0042180A"/>
    <w:rsid w:val="004226E5"/>
    <w:rsid w:val="0042390B"/>
    <w:rsid w:val="0042421C"/>
    <w:rsid w:val="004248B5"/>
    <w:rsid w:val="00424A10"/>
    <w:rsid w:val="00425D15"/>
    <w:rsid w:val="004267E3"/>
    <w:rsid w:val="004276D1"/>
    <w:rsid w:val="004312B7"/>
    <w:rsid w:val="00431CCC"/>
    <w:rsid w:val="0043227B"/>
    <w:rsid w:val="00432303"/>
    <w:rsid w:val="00432E58"/>
    <w:rsid w:val="00433A19"/>
    <w:rsid w:val="00433F76"/>
    <w:rsid w:val="004340C2"/>
    <w:rsid w:val="004342B0"/>
    <w:rsid w:val="004349FB"/>
    <w:rsid w:val="00437F52"/>
    <w:rsid w:val="00440602"/>
    <w:rsid w:val="004406B0"/>
    <w:rsid w:val="004408D7"/>
    <w:rsid w:val="00440FCB"/>
    <w:rsid w:val="004411E6"/>
    <w:rsid w:val="00441904"/>
    <w:rsid w:val="00441943"/>
    <w:rsid w:val="00441C3B"/>
    <w:rsid w:val="00442690"/>
    <w:rsid w:val="00444733"/>
    <w:rsid w:val="00444A0D"/>
    <w:rsid w:val="00444A82"/>
    <w:rsid w:val="00444C70"/>
    <w:rsid w:val="004453AE"/>
    <w:rsid w:val="00445688"/>
    <w:rsid w:val="00445CF1"/>
    <w:rsid w:val="00445D43"/>
    <w:rsid w:val="0044676A"/>
    <w:rsid w:val="00446CA7"/>
    <w:rsid w:val="00447FE8"/>
    <w:rsid w:val="004504E6"/>
    <w:rsid w:val="00451FF9"/>
    <w:rsid w:val="004529AA"/>
    <w:rsid w:val="00452ABC"/>
    <w:rsid w:val="00452BFD"/>
    <w:rsid w:val="004554FE"/>
    <w:rsid w:val="00455EA6"/>
    <w:rsid w:val="004570FE"/>
    <w:rsid w:val="004577F9"/>
    <w:rsid w:val="00457CF7"/>
    <w:rsid w:val="004607F2"/>
    <w:rsid w:val="00461556"/>
    <w:rsid w:val="004617CC"/>
    <w:rsid w:val="00463B66"/>
    <w:rsid w:val="00464E6B"/>
    <w:rsid w:val="00465ECE"/>
    <w:rsid w:val="00466DDA"/>
    <w:rsid w:val="0046713D"/>
    <w:rsid w:val="00467145"/>
    <w:rsid w:val="0046738F"/>
    <w:rsid w:val="00470E59"/>
    <w:rsid w:val="004713B0"/>
    <w:rsid w:val="00474508"/>
    <w:rsid w:val="004748CB"/>
    <w:rsid w:val="004752B3"/>
    <w:rsid w:val="00476589"/>
    <w:rsid w:val="004765FD"/>
    <w:rsid w:val="00476A57"/>
    <w:rsid w:val="00477282"/>
    <w:rsid w:val="00477598"/>
    <w:rsid w:val="00477761"/>
    <w:rsid w:val="00480037"/>
    <w:rsid w:val="00480710"/>
    <w:rsid w:val="004810C1"/>
    <w:rsid w:val="00481BDA"/>
    <w:rsid w:val="00481DCC"/>
    <w:rsid w:val="00483526"/>
    <w:rsid w:val="00483542"/>
    <w:rsid w:val="004835E4"/>
    <w:rsid w:val="00485418"/>
    <w:rsid w:val="00486224"/>
    <w:rsid w:val="00486E8E"/>
    <w:rsid w:val="004905C2"/>
    <w:rsid w:val="0049070B"/>
    <w:rsid w:val="00490ADC"/>
    <w:rsid w:val="00491691"/>
    <w:rsid w:val="00492817"/>
    <w:rsid w:val="00493D5D"/>
    <w:rsid w:val="004948C4"/>
    <w:rsid w:val="00494A47"/>
    <w:rsid w:val="00494AE7"/>
    <w:rsid w:val="00494BE4"/>
    <w:rsid w:val="00494E0F"/>
    <w:rsid w:val="00494F7E"/>
    <w:rsid w:val="00495F0E"/>
    <w:rsid w:val="00496633"/>
    <w:rsid w:val="004966B0"/>
    <w:rsid w:val="00496C58"/>
    <w:rsid w:val="00496DD9"/>
    <w:rsid w:val="00497170"/>
    <w:rsid w:val="004A0234"/>
    <w:rsid w:val="004A0671"/>
    <w:rsid w:val="004A1394"/>
    <w:rsid w:val="004A2CAC"/>
    <w:rsid w:val="004A315D"/>
    <w:rsid w:val="004A35F8"/>
    <w:rsid w:val="004A4B8D"/>
    <w:rsid w:val="004A4D92"/>
    <w:rsid w:val="004A5AF4"/>
    <w:rsid w:val="004A5C86"/>
    <w:rsid w:val="004A60A7"/>
    <w:rsid w:val="004A677A"/>
    <w:rsid w:val="004A6C05"/>
    <w:rsid w:val="004A7835"/>
    <w:rsid w:val="004B1082"/>
    <w:rsid w:val="004B2371"/>
    <w:rsid w:val="004B23B2"/>
    <w:rsid w:val="004B26C8"/>
    <w:rsid w:val="004B463F"/>
    <w:rsid w:val="004B5708"/>
    <w:rsid w:val="004B65F7"/>
    <w:rsid w:val="004B6A7D"/>
    <w:rsid w:val="004B6C0F"/>
    <w:rsid w:val="004B7C43"/>
    <w:rsid w:val="004B7EBF"/>
    <w:rsid w:val="004C14BD"/>
    <w:rsid w:val="004C1BAC"/>
    <w:rsid w:val="004C299E"/>
    <w:rsid w:val="004C316F"/>
    <w:rsid w:val="004C368C"/>
    <w:rsid w:val="004C5347"/>
    <w:rsid w:val="004C55AF"/>
    <w:rsid w:val="004C5ADC"/>
    <w:rsid w:val="004C602A"/>
    <w:rsid w:val="004C63AB"/>
    <w:rsid w:val="004C63B6"/>
    <w:rsid w:val="004C729A"/>
    <w:rsid w:val="004C7B63"/>
    <w:rsid w:val="004D29D1"/>
    <w:rsid w:val="004D2C7B"/>
    <w:rsid w:val="004D371C"/>
    <w:rsid w:val="004D3A00"/>
    <w:rsid w:val="004D5BD3"/>
    <w:rsid w:val="004D6C8D"/>
    <w:rsid w:val="004D74B6"/>
    <w:rsid w:val="004D785D"/>
    <w:rsid w:val="004E1BC8"/>
    <w:rsid w:val="004E2ECB"/>
    <w:rsid w:val="004E5052"/>
    <w:rsid w:val="004E50FB"/>
    <w:rsid w:val="004E5CBD"/>
    <w:rsid w:val="004E7462"/>
    <w:rsid w:val="004E76B9"/>
    <w:rsid w:val="004E7E74"/>
    <w:rsid w:val="004F0782"/>
    <w:rsid w:val="004F0A4C"/>
    <w:rsid w:val="004F181A"/>
    <w:rsid w:val="004F20D7"/>
    <w:rsid w:val="004F21D4"/>
    <w:rsid w:val="004F2543"/>
    <w:rsid w:val="004F2C96"/>
    <w:rsid w:val="004F3248"/>
    <w:rsid w:val="004F337C"/>
    <w:rsid w:val="004F5372"/>
    <w:rsid w:val="004F65B9"/>
    <w:rsid w:val="004F6A15"/>
    <w:rsid w:val="0050021B"/>
    <w:rsid w:val="005008E6"/>
    <w:rsid w:val="005012EA"/>
    <w:rsid w:val="00501A2C"/>
    <w:rsid w:val="0050274C"/>
    <w:rsid w:val="0050409F"/>
    <w:rsid w:val="00504957"/>
    <w:rsid w:val="00505CEA"/>
    <w:rsid w:val="00506375"/>
    <w:rsid w:val="00506957"/>
    <w:rsid w:val="00506C85"/>
    <w:rsid w:val="00507C4F"/>
    <w:rsid w:val="00507FF5"/>
    <w:rsid w:val="0051038E"/>
    <w:rsid w:val="0051045C"/>
    <w:rsid w:val="00510A55"/>
    <w:rsid w:val="00511407"/>
    <w:rsid w:val="005122E6"/>
    <w:rsid w:val="00513B41"/>
    <w:rsid w:val="00514366"/>
    <w:rsid w:val="0051471C"/>
    <w:rsid w:val="005149D3"/>
    <w:rsid w:val="00514DE7"/>
    <w:rsid w:val="00515A4F"/>
    <w:rsid w:val="00515EFC"/>
    <w:rsid w:val="00516A8F"/>
    <w:rsid w:val="00517AA3"/>
    <w:rsid w:val="00517DA1"/>
    <w:rsid w:val="00520DCC"/>
    <w:rsid w:val="005212AB"/>
    <w:rsid w:val="0052177B"/>
    <w:rsid w:val="00522B60"/>
    <w:rsid w:val="00523465"/>
    <w:rsid w:val="005237A7"/>
    <w:rsid w:val="00523921"/>
    <w:rsid w:val="00524AEC"/>
    <w:rsid w:val="00525563"/>
    <w:rsid w:val="00526CBB"/>
    <w:rsid w:val="005273A4"/>
    <w:rsid w:val="0053010C"/>
    <w:rsid w:val="0053083A"/>
    <w:rsid w:val="005309B4"/>
    <w:rsid w:val="00530ACB"/>
    <w:rsid w:val="00530AFF"/>
    <w:rsid w:val="00530BAC"/>
    <w:rsid w:val="005328A9"/>
    <w:rsid w:val="00532D6C"/>
    <w:rsid w:val="005332F1"/>
    <w:rsid w:val="0053400E"/>
    <w:rsid w:val="00535475"/>
    <w:rsid w:val="005354CA"/>
    <w:rsid w:val="0053571E"/>
    <w:rsid w:val="0053585D"/>
    <w:rsid w:val="00536B28"/>
    <w:rsid w:val="0053750B"/>
    <w:rsid w:val="00537B70"/>
    <w:rsid w:val="00537C46"/>
    <w:rsid w:val="00541B69"/>
    <w:rsid w:val="005428F7"/>
    <w:rsid w:val="00542AFD"/>
    <w:rsid w:val="00544433"/>
    <w:rsid w:val="00544C09"/>
    <w:rsid w:val="00545E34"/>
    <w:rsid w:val="0054608F"/>
    <w:rsid w:val="005462FE"/>
    <w:rsid w:val="00547070"/>
    <w:rsid w:val="00547157"/>
    <w:rsid w:val="00547A7E"/>
    <w:rsid w:val="00547B25"/>
    <w:rsid w:val="00547DE8"/>
    <w:rsid w:val="00550449"/>
    <w:rsid w:val="00550996"/>
    <w:rsid w:val="00551D31"/>
    <w:rsid w:val="00551E94"/>
    <w:rsid w:val="0055291E"/>
    <w:rsid w:val="00552EE2"/>
    <w:rsid w:val="00553253"/>
    <w:rsid w:val="0055347D"/>
    <w:rsid w:val="0055358E"/>
    <w:rsid w:val="00554081"/>
    <w:rsid w:val="00554C57"/>
    <w:rsid w:val="005566A8"/>
    <w:rsid w:val="0055674D"/>
    <w:rsid w:val="00556B5F"/>
    <w:rsid w:val="0056006E"/>
    <w:rsid w:val="005600FD"/>
    <w:rsid w:val="00560437"/>
    <w:rsid w:val="00560FC4"/>
    <w:rsid w:val="00562F83"/>
    <w:rsid w:val="00564004"/>
    <w:rsid w:val="0056416E"/>
    <w:rsid w:val="00565058"/>
    <w:rsid w:val="00565517"/>
    <w:rsid w:val="0056639C"/>
    <w:rsid w:val="005676A3"/>
    <w:rsid w:val="00571B0D"/>
    <w:rsid w:val="00572012"/>
    <w:rsid w:val="00572415"/>
    <w:rsid w:val="00572628"/>
    <w:rsid w:val="005726AB"/>
    <w:rsid w:val="005730D0"/>
    <w:rsid w:val="005734A1"/>
    <w:rsid w:val="005738F9"/>
    <w:rsid w:val="00573E75"/>
    <w:rsid w:val="00574553"/>
    <w:rsid w:val="00575282"/>
    <w:rsid w:val="005755B4"/>
    <w:rsid w:val="00575874"/>
    <w:rsid w:val="0057638A"/>
    <w:rsid w:val="00576E41"/>
    <w:rsid w:val="0057741A"/>
    <w:rsid w:val="00577BF3"/>
    <w:rsid w:val="0058111D"/>
    <w:rsid w:val="00582116"/>
    <w:rsid w:val="005824F6"/>
    <w:rsid w:val="00582B6E"/>
    <w:rsid w:val="00583559"/>
    <w:rsid w:val="00583DC3"/>
    <w:rsid w:val="0058404F"/>
    <w:rsid w:val="0058539E"/>
    <w:rsid w:val="005853A5"/>
    <w:rsid w:val="00585488"/>
    <w:rsid w:val="00585FD2"/>
    <w:rsid w:val="00586F5A"/>
    <w:rsid w:val="00590C88"/>
    <w:rsid w:val="0059208B"/>
    <w:rsid w:val="0059246B"/>
    <w:rsid w:val="00593103"/>
    <w:rsid w:val="00594763"/>
    <w:rsid w:val="00594B46"/>
    <w:rsid w:val="00595330"/>
    <w:rsid w:val="0059555B"/>
    <w:rsid w:val="00595AEA"/>
    <w:rsid w:val="00596208"/>
    <w:rsid w:val="00596D5B"/>
    <w:rsid w:val="005A0389"/>
    <w:rsid w:val="005A0A7E"/>
    <w:rsid w:val="005A1326"/>
    <w:rsid w:val="005A215D"/>
    <w:rsid w:val="005A24B9"/>
    <w:rsid w:val="005A2B11"/>
    <w:rsid w:val="005A3B7B"/>
    <w:rsid w:val="005A4FC0"/>
    <w:rsid w:val="005A55E5"/>
    <w:rsid w:val="005A604B"/>
    <w:rsid w:val="005A636E"/>
    <w:rsid w:val="005A6D58"/>
    <w:rsid w:val="005B08D8"/>
    <w:rsid w:val="005B0D91"/>
    <w:rsid w:val="005B1D88"/>
    <w:rsid w:val="005B268F"/>
    <w:rsid w:val="005B2F84"/>
    <w:rsid w:val="005B31D5"/>
    <w:rsid w:val="005B5073"/>
    <w:rsid w:val="005B5729"/>
    <w:rsid w:val="005B6632"/>
    <w:rsid w:val="005B674B"/>
    <w:rsid w:val="005B67E6"/>
    <w:rsid w:val="005C092A"/>
    <w:rsid w:val="005C0F38"/>
    <w:rsid w:val="005C1799"/>
    <w:rsid w:val="005C1BCA"/>
    <w:rsid w:val="005C3305"/>
    <w:rsid w:val="005C4D2D"/>
    <w:rsid w:val="005C56FA"/>
    <w:rsid w:val="005C673F"/>
    <w:rsid w:val="005C72C6"/>
    <w:rsid w:val="005C7773"/>
    <w:rsid w:val="005C7DE0"/>
    <w:rsid w:val="005D0B93"/>
    <w:rsid w:val="005D2D91"/>
    <w:rsid w:val="005D59CB"/>
    <w:rsid w:val="005D613A"/>
    <w:rsid w:val="005D71FB"/>
    <w:rsid w:val="005D7793"/>
    <w:rsid w:val="005D7E58"/>
    <w:rsid w:val="005E0E66"/>
    <w:rsid w:val="005E0E7A"/>
    <w:rsid w:val="005E116E"/>
    <w:rsid w:val="005E1C27"/>
    <w:rsid w:val="005E21CD"/>
    <w:rsid w:val="005E3254"/>
    <w:rsid w:val="005E3377"/>
    <w:rsid w:val="005E3C51"/>
    <w:rsid w:val="005E3E02"/>
    <w:rsid w:val="005E5593"/>
    <w:rsid w:val="005E5A8A"/>
    <w:rsid w:val="005E644A"/>
    <w:rsid w:val="005E6508"/>
    <w:rsid w:val="005E6EB7"/>
    <w:rsid w:val="005E6FDC"/>
    <w:rsid w:val="005E79C4"/>
    <w:rsid w:val="005F04BA"/>
    <w:rsid w:val="005F1B99"/>
    <w:rsid w:val="005F1C68"/>
    <w:rsid w:val="005F2579"/>
    <w:rsid w:val="005F36CD"/>
    <w:rsid w:val="005F3F22"/>
    <w:rsid w:val="005F5D2F"/>
    <w:rsid w:val="005F6336"/>
    <w:rsid w:val="005F646D"/>
    <w:rsid w:val="005F65C3"/>
    <w:rsid w:val="0060008A"/>
    <w:rsid w:val="00600579"/>
    <w:rsid w:val="00600947"/>
    <w:rsid w:val="006041DE"/>
    <w:rsid w:val="00605315"/>
    <w:rsid w:val="0060586D"/>
    <w:rsid w:val="0060679B"/>
    <w:rsid w:val="00607CA7"/>
    <w:rsid w:val="00607FDE"/>
    <w:rsid w:val="006110BB"/>
    <w:rsid w:val="006123F8"/>
    <w:rsid w:val="00612755"/>
    <w:rsid w:val="00612823"/>
    <w:rsid w:val="00613A00"/>
    <w:rsid w:val="00613C15"/>
    <w:rsid w:val="00614768"/>
    <w:rsid w:val="00614834"/>
    <w:rsid w:val="00615843"/>
    <w:rsid w:val="00616F09"/>
    <w:rsid w:val="00620335"/>
    <w:rsid w:val="006206A1"/>
    <w:rsid w:val="00620B2F"/>
    <w:rsid w:val="00621B07"/>
    <w:rsid w:val="00621D72"/>
    <w:rsid w:val="006221F6"/>
    <w:rsid w:val="0062279F"/>
    <w:rsid w:val="006228E2"/>
    <w:rsid w:val="00622A83"/>
    <w:rsid w:val="00622D60"/>
    <w:rsid w:val="00623166"/>
    <w:rsid w:val="006241DE"/>
    <w:rsid w:val="006247AA"/>
    <w:rsid w:val="00625E3B"/>
    <w:rsid w:val="00626002"/>
    <w:rsid w:val="006263D4"/>
    <w:rsid w:val="00626EC0"/>
    <w:rsid w:val="00626F7B"/>
    <w:rsid w:val="0063003B"/>
    <w:rsid w:val="00632253"/>
    <w:rsid w:val="00632261"/>
    <w:rsid w:val="0063235A"/>
    <w:rsid w:val="00633EB5"/>
    <w:rsid w:val="0063486D"/>
    <w:rsid w:val="00634F25"/>
    <w:rsid w:val="0063550A"/>
    <w:rsid w:val="00635FE1"/>
    <w:rsid w:val="00637889"/>
    <w:rsid w:val="0064035F"/>
    <w:rsid w:val="00640F22"/>
    <w:rsid w:val="0064103A"/>
    <w:rsid w:val="006417F3"/>
    <w:rsid w:val="00641AF3"/>
    <w:rsid w:val="00642E6E"/>
    <w:rsid w:val="00642F78"/>
    <w:rsid w:val="006441EA"/>
    <w:rsid w:val="0064438D"/>
    <w:rsid w:val="006457E8"/>
    <w:rsid w:val="0064607E"/>
    <w:rsid w:val="00646CF0"/>
    <w:rsid w:val="00646E77"/>
    <w:rsid w:val="00647A86"/>
    <w:rsid w:val="0065138A"/>
    <w:rsid w:val="0065201F"/>
    <w:rsid w:val="006525C0"/>
    <w:rsid w:val="00653D00"/>
    <w:rsid w:val="0065427F"/>
    <w:rsid w:val="006553C2"/>
    <w:rsid w:val="006555BA"/>
    <w:rsid w:val="006558D6"/>
    <w:rsid w:val="006560BE"/>
    <w:rsid w:val="00656341"/>
    <w:rsid w:val="0065642B"/>
    <w:rsid w:val="00656706"/>
    <w:rsid w:val="00660B33"/>
    <w:rsid w:val="0066316D"/>
    <w:rsid w:val="00663587"/>
    <w:rsid w:val="00665338"/>
    <w:rsid w:val="00665E65"/>
    <w:rsid w:val="006673C7"/>
    <w:rsid w:val="00667D66"/>
    <w:rsid w:val="00671E24"/>
    <w:rsid w:val="0067294D"/>
    <w:rsid w:val="00674B2D"/>
    <w:rsid w:val="00675505"/>
    <w:rsid w:val="00675E77"/>
    <w:rsid w:val="00676142"/>
    <w:rsid w:val="006765A2"/>
    <w:rsid w:val="00676D84"/>
    <w:rsid w:val="006772B1"/>
    <w:rsid w:val="006779D1"/>
    <w:rsid w:val="00677ABF"/>
    <w:rsid w:val="00680059"/>
    <w:rsid w:val="0068157E"/>
    <w:rsid w:val="00683945"/>
    <w:rsid w:val="006845EA"/>
    <w:rsid w:val="0068550D"/>
    <w:rsid w:val="00685CEA"/>
    <w:rsid w:val="00686F56"/>
    <w:rsid w:val="00687513"/>
    <w:rsid w:val="00690D93"/>
    <w:rsid w:val="00691FFF"/>
    <w:rsid w:val="006924EC"/>
    <w:rsid w:val="00692E20"/>
    <w:rsid w:val="0069421E"/>
    <w:rsid w:val="006948D9"/>
    <w:rsid w:val="00695DDC"/>
    <w:rsid w:val="00696941"/>
    <w:rsid w:val="00696C87"/>
    <w:rsid w:val="00697DED"/>
    <w:rsid w:val="006A3DD0"/>
    <w:rsid w:val="006A456D"/>
    <w:rsid w:val="006A524F"/>
    <w:rsid w:val="006A5296"/>
    <w:rsid w:val="006A5495"/>
    <w:rsid w:val="006A5ACD"/>
    <w:rsid w:val="006A6D99"/>
    <w:rsid w:val="006A7202"/>
    <w:rsid w:val="006A7A90"/>
    <w:rsid w:val="006B0861"/>
    <w:rsid w:val="006B1133"/>
    <w:rsid w:val="006B23DF"/>
    <w:rsid w:val="006B2543"/>
    <w:rsid w:val="006B2E9D"/>
    <w:rsid w:val="006B3D29"/>
    <w:rsid w:val="006B40F1"/>
    <w:rsid w:val="006B5F6E"/>
    <w:rsid w:val="006B68C9"/>
    <w:rsid w:val="006B70CD"/>
    <w:rsid w:val="006B7793"/>
    <w:rsid w:val="006B7AA7"/>
    <w:rsid w:val="006B7FC8"/>
    <w:rsid w:val="006C072B"/>
    <w:rsid w:val="006C1359"/>
    <w:rsid w:val="006C13BA"/>
    <w:rsid w:val="006C176E"/>
    <w:rsid w:val="006C23DE"/>
    <w:rsid w:val="006C278A"/>
    <w:rsid w:val="006C39D7"/>
    <w:rsid w:val="006C42C7"/>
    <w:rsid w:val="006C6804"/>
    <w:rsid w:val="006C692D"/>
    <w:rsid w:val="006C6A73"/>
    <w:rsid w:val="006C6AD6"/>
    <w:rsid w:val="006C6F34"/>
    <w:rsid w:val="006D1177"/>
    <w:rsid w:val="006D3550"/>
    <w:rsid w:val="006D382F"/>
    <w:rsid w:val="006D3EFE"/>
    <w:rsid w:val="006D4A33"/>
    <w:rsid w:val="006D4AD8"/>
    <w:rsid w:val="006D4CAA"/>
    <w:rsid w:val="006D532F"/>
    <w:rsid w:val="006D5809"/>
    <w:rsid w:val="006D5952"/>
    <w:rsid w:val="006D5B03"/>
    <w:rsid w:val="006D6420"/>
    <w:rsid w:val="006D77A2"/>
    <w:rsid w:val="006D7AF3"/>
    <w:rsid w:val="006D7E80"/>
    <w:rsid w:val="006E0073"/>
    <w:rsid w:val="006E07F8"/>
    <w:rsid w:val="006E1121"/>
    <w:rsid w:val="006E1946"/>
    <w:rsid w:val="006E21DB"/>
    <w:rsid w:val="006E2495"/>
    <w:rsid w:val="006E377B"/>
    <w:rsid w:val="006E3CAF"/>
    <w:rsid w:val="006E410D"/>
    <w:rsid w:val="006E4CFF"/>
    <w:rsid w:val="006E50A8"/>
    <w:rsid w:val="006E58C2"/>
    <w:rsid w:val="006E5CCB"/>
    <w:rsid w:val="006E6E13"/>
    <w:rsid w:val="006F0E47"/>
    <w:rsid w:val="006F0F5D"/>
    <w:rsid w:val="006F2033"/>
    <w:rsid w:val="006F352A"/>
    <w:rsid w:val="006F3D78"/>
    <w:rsid w:val="006F4725"/>
    <w:rsid w:val="006F4984"/>
    <w:rsid w:val="006F4CEA"/>
    <w:rsid w:val="006F608F"/>
    <w:rsid w:val="006F6931"/>
    <w:rsid w:val="006F6985"/>
    <w:rsid w:val="006F69FD"/>
    <w:rsid w:val="006F6F8A"/>
    <w:rsid w:val="00701265"/>
    <w:rsid w:val="00701978"/>
    <w:rsid w:val="0070256A"/>
    <w:rsid w:val="00703EEC"/>
    <w:rsid w:val="00704AEC"/>
    <w:rsid w:val="007051C5"/>
    <w:rsid w:val="0070529F"/>
    <w:rsid w:val="00710F6A"/>
    <w:rsid w:val="00712C9E"/>
    <w:rsid w:val="007145B3"/>
    <w:rsid w:val="007148C0"/>
    <w:rsid w:val="00714B81"/>
    <w:rsid w:val="00714CE5"/>
    <w:rsid w:val="00714D54"/>
    <w:rsid w:val="0071529D"/>
    <w:rsid w:val="007154E1"/>
    <w:rsid w:val="00715C7F"/>
    <w:rsid w:val="00715E8A"/>
    <w:rsid w:val="00717574"/>
    <w:rsid w:val="007179BA"/>
    <w:rsid w:val="00717BBA"/>
    <w:rsid w:val="00717E96"/>
    <w:rsid w:val="00720407"/>
    <w:rsid w:val="00720524"/>
    <w:rsid w:val="0072101C"/>
    <w:rsid w:val="00723A63"/>
    <w:rsid w:val="00724494"/>
    <w:rsid w:val="00724FAD"/>
    <w:rsid w:val="00725342"/>
    <w:rsid w:val="007254EE"/>
    <w:rsid w:val="007330AB"/>
    <w:rsid w:val="007340B2"/>
    <w:rsid w:val="00734113"/>
    <w:rsid w:val="00734DF2"/>
    <w:rsid w:val="00735551"/>
    <w:rsid w:val="00735D6F"/>
    <w:rsid w:val="0073600E"/>
    <w:rsid w:val="00740036"/>
    <w:rsid w:val="0074129B"/>
    <w:rsid w:val="00741960"/>
    <w:rsid w:val="007423F6"/>
    <w:rsid w:val="007424C6"/>
    <w:rsid w:val="00743E0D"/>
    <w:rsid w:val="00744934"/>
    <w:rsid w:val="00744B35"/>
    <w:rsid w:val="007456CA"/>
    <w:rsid w:val="007457B8"/>
    <w:rsid w:val="007460A0"/>
    <w:rsid w:val="007467C9"/>
    <w:rsid w:val="007477CD"/>
    <w:rsid w:val="00751905"/>
    <w:rsid w:val="00752075"/>
    <w:rsid w:val="00752095"/>
    <w:rsid w:val="0075209A"/>
    <w:rsid w:val="0075288F"/>
    <w:rsid w:val="00752D0D"/>
    <w:rsid w:val="0075380C"/>
    <w:rsid w:val="00753B5A"/>
    <w:rsid w:val="00753F3E"/>
    <w:rsid w:val="00755D51"/>
    <w:rsid w:val="00755FA9"/>
    <w:rsid w:val="0075670C"/>
    <w:rsid w:val="00756B10"/>
    <w:rsid w:val="0075717F"/>
    <w:rsid w:val="0075719E"/>
    <w:rsid w:val="007602B1"/>
    <w:rsid w:val="00760788"/>
    <w:rsid w:val="00760851"/>
    <w:rsid w:val="00760B6D"/>
    <w:rsid w:val="007610A4"/>
    <w:rsid w:val="0076119B"/>
    <w:rsid w:val="0076186D"/>
    <w:rsid w:val="00762396"/>
    <w:rsid w:val="007628BE"/>
    <w:rsid w:val="00763BB9"/>
    <w:rsid w:val="00763E58"/>
    <w:rsid w:val="00764A47"/>
    <w:rsid w:val="00764DF9"/>
    <w:rsid w:val="007650F8"/>
    <w:rsid w:val="00765D48"/>
    <w:rsid w:val="00765F25"/>
    <w:rsid w:val="00770276"/>
    <w:rsid w:val="0077070E"/>
    <w:rsid w:val="00771110"/>
    <w:rsid w:val="00771F9A"/>
    <w:rsid w:val="00772CB0"/>
    <w:rsid w:val="007744D1"/>
    <w:rsid w:val="007748E4"/>
    <w:rsid w:val="007777E7"/>
    <w:rsid w:val="0078006D"/>
    <w:rsid w:val="00780BB0"/>
    <w:rsid w:val="00782704"/>
    <w:rsid w:val="00784E27"/>
    <w:rsid w:val="00785830"/>
    <w:rsid w:val="00785CB2"/>
    <w:rsid w:val="00785E5C"/>
    <w:rsid w:val="007860F7"/>
    <w:rsid w:val="007865D5"/>
    <w:rsid w:val="00791477"/>
    <w:rsid w:val="007917F3"/>
    <w:rsid w:val="0079227C"/>
    <w:rsid w:val="00792D4E"/>
    <w:rsid w:val="0079306B"/>
    <w:rsid w:val="0079393B"/>
    <w:rsid w:val="00794F19"/>
    <w:rsid w:val="00795F7D"/>
    <w:rsid w:val="00796E38"/>
    <w:rsid w:val="007975CA"/>
    <w:rsid w:val="007A0B27"/>
    <w:rsid w:val="007A10FE"/>
    <w:rsid w:val="007A138D"/>
    <w:rsid w:val="007A2FDF"/>
    <w:rsid w:val="007A3359"/>
    <w:rsid w:val="007A451A"/>
    <w:rsid w:val="007A545D"/>
    <w:rsid w:val="007A67E1"/>
    <w:rsid w:val="007A6F61"/>
    <w:rsid w:val="007B010B"/>
    <w:rsid w:val="007B154B"/>
    <w:rsid w:val="007B2DC2"/>
    <w:rsid w:val="007B364C"/>
    <w:rsid w:val="007B3850"/>
    <w:rsid w:val="007B3C4F"/>
    <w:rsid w:val="007B4CCC"/>
    <w:rsid w:val="007B5CEA"/>
    <w:rsid w:val="007B6121"/>
    <w:rsid w:val="007B6BEF"/>
    <w:rsid w:val="007B77DB"/>
    <w:rsid w:val="007B79E1"/>
    <w:rsid w:val="007C01C7"/>
    <w:rsid w:val="007C0640"/>
    <w:rsid w:val="007C09F1"/>
    <w:rsid w:val="007C13DA"/>
    <w:rsid w:val="007C2460"/>
    <w:rsid w:val="007C275C"/>
    <w:rsid w:val="007C3555"/>
    <w:rsid w:val="007C3E6E"/>
    <w:rsid w:val="007C3FD3"/>
    <w:rsid w:val="007C45CC"/>
    <w:rsid w:val="007C499F"/>
    <w:rsid w:val="007C50B9"/>
    <w:rsid w:val="007C6000"/>
    <w:rsid w:val="007C64BE"/>
    <w:rsid w:val="007C6760"/>
    <w:rsid w:val="007C6781"/>
    <w:rsid w:val="007C76FC"/>
    <w:rsid w:val="007C7926"/>
    <w:rsid w:val="007D0519"/>
    <w:rsid w:val="007D1818"/>
    <w:rsid w:val="007D295C"/>
    <w:rsid w:val="007D33E3"/>
    <w:rsid w:val="007D3E48"/>
    <w:rsid w:val="007D4219"/>
    <w:rsid w:val="007D47D6"/>
    <w:rsid w:val="007D48B9"/>
    <w:rsid w:val="007D4A88"/>
    <w:rsid w:val="007D5388"/>
    <w:rsid w:val="007D5805"/>
    <w:rsid w:val="007D78F4"/>
    <w:rsid w:val="007E21DE"/>
    <w:rsid w:val="007E22D2"/>
    <w:rsid w:val="007E2FD1"/>
    <w:rsid w:val="007E3D6E"/>
    <w:rsid w:val="007E3FBD"/>
    <w:rsid w:val="007E4396"/>
    <w:rsid w:val="007E464C"/>
    <w:rsid w:val="007E5057"/>
    <w:rsid w:val="007E50F1"/>
    <w:rsid w:val="007E61D1"/>
    <w:rsid w:val="007E61F2"/>
    <w:rsid w:val="007E6AA1"/>
    <w:rsid w:val="007E74F3"/>
    <w:rsid w:val="007F1796"/>
    <w:rsid w:val="007F19BC"/>
    <w:rsid w:val="007F1A2C"/>
    <w:rsid w:val="007F3B34"/>
    <w:rsid w:val="007F3FC2"/>
    <w:rsid w:val="007F4574"/>
    <w:rsid w:val="007F45BD"/>
    <w:rsid w:val="007F4CC2"/>
    <w:rsid w:val="007F4D93"/>
    <w:rsid w:val="007F5570"/>
    <w:rsid w:val="007F66B9"/>
    <w:rsid w:val="007F6755"/>
    <w:rsid w:val="007F68A9"/>
    <w:rsid w:val="007F6CF0"/>
    <w:rsid w:val="007F6F89"/>
    <w:rsid w:val="007F6F9C"/>
    <w:rsid w:val="007F720B"/>
    <w:rsid w:val="007F7250"/>
    <w:rsid w:val="007F77DE"/>
    <w:rsid w:val="007F7FB6"/>
    <w:rsid w:val="008004A4"/>
    <w:rsid w:val="0080052E"/>
    <w:rsid w:val="00801745"/>
    <w:rsid w:val="008041AB"/>
    <w:rsid w:val="00804ADE"/>
    <w:rsid w:val="00804B7F"/>
    <w:rsid w:val="00804F9F"/>
    <w:rsid w:val="00807E9E"/>
    <w:rsid w:val="00807F0D"/>
    <w:rsid w:val="00810777"/>
    <w:rsid w:val="0081122E"/>
    <w:rsid w:val="00811A36"/>
    <w:rsid w:val="00812471"/>
    <w:rsid w:val="008147C4"/>
    <w:rsid w:val="00817A09"/>
    <w:rsid w:val="00817C6A"/>
    <w:rsid w:val="00820006"/>
    <w:rsid w:val="008200CC"/>
    <w:rsid w:val="008213EA"/>
    <w:rsid w:val="00821AC5"/>
    <w:rsid w:val="0082314C"/>
    <w:rsid w:val="00823AC7"/>
    <w:rsid w:val="00824DAB"/>
    <w:rsid w:val="00824E38"/>
    <w:rsid w:val="00824EEE"/>
    <w:rsid w:val="0082525A"/>
    <w:rsid w:val="00826388"/>
    <w:rsid w:val="008315F2"/>
    <w:rsid w:val="0083192B"/>
    <w:rsid w:val="00834706"/>
    <w:rsid w:val="008347D1"/>
    <w:rsid w:val="00834A60"/>
    <w:rsid w:val="00835627"/>
    <w:rsid w:val="008370BD"/>
    <w:rsid w:val="008375DF"/>
    <w:rsid w:val="00841840"/>
    <w:rsid w:val="00841EFD"/>
    <w:rsid w:val="008420C1"/>
    <w:rsid w:val="00842122"/>
    <w:rsid w:val="008427FD"/>
    <w:rsid w:val="00844EAB"/>
    <w:rsid w:val="0084630C"/>
    <w:rsid w:val="00846CC8"/>
    <w:rsid w:val="008475C2"/>
    <w:rsid w:val="0084779E"/>
    <w:rsid w:val="00847E99"/>
    <w:rsid w:val="00847EC8"/>
    <w:rsid w:val="00850480"/>
    <w:rsid w:val="008504D4"/>
    <w:rsid w:val="0085076E"/>
    <w:rsid w:val="00851254"/>
    <w:rsid w:val="008514CD"/>
    <w:rsid w:val="00852877"/>
    <w:rsid w:val="00852B2D"/>
    <w:rsid w:val="0085415A"/>
    <w:rsid w:val="008545CC"/>
    <w:rsid w:val="008557F0"/>
    <w:rsid w:val="00856F0C"/>
    <w:rsid w:val="00857658"/>
    <w:rsid w:val="00857928"/>
    <w:rsid w:val="00857D43"/>
    <w:rsid w:val="00860481"/>
    <w:rsid w:val="00860B7B"/>
    <w:rsid w:val="00860E84"/>
    <w:rsid w:val="00861141"/>
    <w:rsid w:val="00863072"/>
    <w:rsid w:val="0086374B"/>
    <w:rsid w:val="00864689"/>
    <w:rsid w:val="0086507C"/>
    <w:rsid w:val="0087117E"/>
    <w:rsid w:val="00871EB8"/>
    <w:rsid w:val="00872932"/>
    <w:rsid w:val="00873462"/>
    <w:rsid w:val="00874746"/>
    <w:rsid w:val="0087487D"/>
    <w:rsid w:val="00874BA3"/>
    <w:rsid w:val="00875904"/>
    <w:rsid w:val="00876599"/>
    <w:rsid w:val="008765C2"/>
    <w:rsid w:val="0087723A"/>
    <w:rsid w:val="008776C2"/>
    <w:rsid w:val="00877933"/>
    <w:rsid w:val="00877E81"/>
    <w:rsid w:val="008814E3"/>
    <w:rsid w:val="00882C41"/>
    <w:rsid w:val="008831DA"/>
    <w:rsid w:val="008841E3"/>
    <w:rsid w:val="00884407"/>
    <w:rsid w:val="00884FD5"/>
    <w:rsid w:val="008858DC"/>
    <w:rsid w:val="00885998"/>
    <w:rsid w:val="00887B9A"/>
    <w:rsid w:val="008900C5"/>
    <w:rsid w:val="00890D32"/>
    <w:rsid w:val="0089162A"/>
    <w:rsid w:val="00892686"/>
    <w:rsid w:val="00892D79"/>
    <w:rsid w:val="008932C5"/>
    <w:rsid w:val="008933F6"/>
    <w:rsid w:val="00893E0C"/>
    <w:rsid w:val="00894258"/>
    <w:rsid w:val="0089470C"/>
    <w:rsid w:val="00894D40"/>
    <w:rsid w:val="00894DE6"/>
    <w:rsid w:val="0089512B"/>
    <w:rsid w:val="00895434"/>
    <w:rsid w:val="0089564A"/>
    <w:rsid w:val="0089589F"/>
    <w:rsid w:val="00895E7C"/>
    <w:rsid w:val="008967F1"/>
    <w:rsid w:val="008A04B4"/>
    <w:rsid w:val="008A253B"/>
    <w:rsid w:val="008A4E77"/>
    <w:rsid w:val="008A5019"/>
    <w:rsid w:val="008A51F3"/>
    <w:rsid w:val="008A5EF9"/>
    <w:rsid w:val="008A63CD"/>
    <w:rsid w:val="008A6764"/>
    <w:rsid w:val="008A70FC"/>
    <w:rsid w:val="008A73A5"/>
    <w:rsid w:val="008B0D77"/>
    <w:rsid w:val="008B1254"/>
    <w:rsid w:val="008B1913"/>
    <w:rsid w:val="008B2052"/>
    <w:rsid w:val="008B26F8"/>
    <w:rsid w:val="008B451D"/>
    <w:rsid w:val="008B4900"/>
    <w:rsid w:val="008B65F1"/>
    <w:rsid w:val="008B660D"/>
    <w:rsid w:val="008B6795"/>
    <w:rsid w:val="008C0688"/>
    <w:rsid w:val="008C129F"/>
    <w:rsid w:val="008C164E"/>
    <w:rsid w:val="008C27C4"/>
    <w:rsid w:val="008C2DDF"/>
    <w:rsid w:val="008C3A7B"/>
    <w:rsid w:val="008C3B63"/>
    <w:rsid w:val="008C3C87"/>
    <w:rsid w:val="008C444B"/>
    <w:rsid w:val="008C550E"/>
    <w:rsid w:val="008C5715"/>
    <w:rsid w:val="008C57EB"/>
    <w:rsid w:val="008C5B36"/>
    <w:rsid w:val="008C7C6D"/>
    <w:rsid w:val="008C7FC7"/>
    <w:rsid w:val="008C7FE8"/>
    <w:rsid w:val="008D00E6"/>
    <w:rsid w:val="008D01F0"/>
    <w:rsid w:val="008D09A9"/>
    <w:rsid w:val="008D0A8C"/>
    <w:rsid w:val="008D0D2E"/>
    <w:rsid w:val="008D1D6A"/>
    <w:rsid w:val="008D22BE"/>
    <w:rsid w:val="008D3072"/>
    <w:rsid w:val="008D3809"/>
    <w:rsid w:val="008D3D90"/>
    <w:rsid w:val="008D4A40"/>
    <w:rsid w:val="008D6621"/>
    <w:rsid w:val="008D68B9"/>
    <w:rsid w:val="008D6B9D"/>
    <w:rsid w:val="008D7577"/>
    <w:rsid w:val="008D7F6D"/>
    <w:rsid w:val="008E038E"/>
    <w:rsid w:val="008E0741"/>
    <w:rsid w:val="008E0BB6"/>
    <w:rsid w:val="008E1B5C"/>
    <w:rsid w:val="008E3F05"/>
    <w:rsid w:val="008E46D8"/>
    <w:rsid w:val="008E5CE5"/>
    <w:rsid w:val="008E5FFC"/>
    <w:rsid w:val="008E7040"/>
    <w:rsid w:val="008E7F27"/>
    <w:rsid w:val="008F07C2"/>
    <w:rsid w:val="008F0823"/>
    <w:rsid w:val="008F0918"/>
    <w:rsid w:val="008F0FC4"/>
    <w:rsid w:val="008F14C5"/>
    <w:rsid w:val="008F15CE"/>
    <w:rsid w:val="008F2026"/>
    <w:rsid w:val="008F278D"/>
    <w:rsid w:val="008F34C5"/>
    <w:rsid w:val="008F36F6"/>
    <w:rsid w:val="008F5A79"/>
    <w:rsid w:val="008F5C24"/>
    <w:rsid w:val="008F605F"/>
    <w:rsid w:val="008F617E"/>
    <w:rsid w:val="008F6C10"/>
    <w:rsid w:val="008F6CFE"/>
    <w:rsid w:val="0090013D"/>
    <w:rsid w:val="0090015D"/>
    <w:rsid w:val="00900418"/>
    <w:rsid w:val="009028EA"/>
    <w:rsid w:val="00902DFA"/>
    <w:rsid w:val="00903BDF"/>
    <w:rsid w:val="00903BEB"/>
    <w:rsid w:val="009048A9"/>
    <w:rsid w:val="009055F7"/>
    <w:rsid w:val="009058D7"/>
    <w:rsid w:val="00906244"/>
    <w:rsid w:val="00907107"/>
    <w:rsid w:val="00910AB2"/>
    <w:rsid w:val="0091108E"/>
    <w:rsid w:val="0091124C"/>
    <w:rsid w:val="009114BD"/>
    <w:rsid w:val="00912BEE"/>
    <w:rsid w:val="00913A5A"/>
    <w:rsid w:val="00914E41"/>
    <w:rsid w:val="00914EC9"/>
    <w:rsid w:val="00915582"/>
    <w:rsid w:val="00915C05"/>
    <w:rsid w:val="00915E09"/>
    <w:rsid w:val="009165D6"/>
    <w:rsid w:val="009166F3"/>
    <w:rsid w:val="00916840"/>
    <w:rsid w:val="00916874"/>
    <w:rsid w:val="00916CC6"/>
    <w:rsid w:val="009173D7"/>
    <w:rsid w:val="0092233F"/>
    <w:rsid w:val="00922F32"/>
    <w:rsid w:val="009236BC"/>
    <w:rsid w:val="00923B59"/>
    <w:rsid w:val="009259A8"/>
    <w:rsid w:val="00925F6D"/>
    <w:rsid w:val="009263A0"/>
    <w:rsid w:val="00933517"/>
    <w:rsid w:val="00933532"/>
    <w:rsid w:val="00933C55"/>
    <w:rsid w:val="009345F1"/>
    <w:rsid w:val="00935138"/>
    <w:rsid w:val="0093522B"/>
    <w:rsid w:val="00935425"/>
    <w:rsid w:val="0093558E"/>
    <w:rsid w:val="00935FA7"/>
    <w:rsid w:val="009364D0"/>
    <w:rsid w:val="00936635"/>
    <w:rsid w:val="00937461"/>
    <w:rsid w:val="009411E3"/>
    <w:rsid w:val="00941835"/>
    <w:rsid w:val="00943652"/>
    <w:rsid w:val="00944218"/>
    <w:rsid w:val="00945043"/>
    <w:rsid w:val="0094564C"/>
    <w:rsid w:val="00946252"/>
    <w:rsid w:val="0094642F"/>
    <w:rsid w:val="009464E1"/>
    <w:rsid w:val="009467B7"/>
    <w:rsid w:val="00946845"/>
    <w:rsid w:val="00946DAC"/>
    <w:rsid w:val="0094716F"/>
    <w:rsid w:val="00947DF0"/>
    <w:rsid w:val="0095007D"/>
    <w:rsid w:val="00952431"/>
    <w:rsid w:val="00953137"/>
    <w:rsid w:val="009534AB"/>
    <w:rsid w:val="0095478B"/>
    <w:rsid w:val="00954EF4"/>
    <w:rsid w:val="00955B3D"/>
    <w:rsid w:val="0095729F"/>
    <w:rsid w:val="0096087E"/>
    <w:rsid w:val="00960DDF"/>
    <w:rsid w:val="009625E3"/>
    <w:rsid w:val="00962A90"/>
    <w:rsid w:val="00963492"/>
    <w:rsid w:val="00966953"/>
    <w:rsid w:val="00966D8C"/>
    <w:rsid w:val="00966E9C"/>
    <w:rsid w:val="0096766B"/>
    <w:rsid w:val="00967C87"/>
    <w:rsid w:val="00970712"/>
    <w:rsid w:val="00970F4D"/>
    <w:rsid w:val="009710C3"/>
    <w:rsid w:val="00971A15"/>
    <w:rsid w:val="00971D5B"/>
    <w:rsid w:val="0097340A"/>
    <w:rsid w:val="00974596"/>
    <w:rsid w:val="009746FD"/>
    <w:rsid w:val="00974A93"/>
    <w:rsid w:val="00976568"/>
    <w:rsid w:val="009773E9"/>
    <w:rsid w:val="00977C39"/>
    <w:rsid w:val="009802B3"/>
    <w:rsid w:val="009807BE"/>
    <w:rsid w:val="00980C26"/>
    <w:rsid w:val="00981490"/>
    <w:rsid w:val="009814B1"/>
    <w:rsid w:val="00982158"/>
    <w:rsid w:val="00984068"/>
    <w:rsid w:val="00984143"/>
    <w:rsid w:val="0098449F"/>
    <w:rsid w:val="0098483A"/>
    <w:rsid w:val="00986363"/>
    <w:rsid w:val="00986CEF"/>
    <w:rsid w:val="00986E4E"/>
    <w:rsid w:val="009877A4"/>
    <w:rsid w:val="0099096A"/>
    <w:rsid w:val="00990FC1"/>
    <w:rsid w:val="00991510"/>
    <w:rsid w:val="00991A3C"/>
    <w:rsid w:val="0099285F"/>
    <w:rsid w:val="00992E78"/>
    <w:rsid w:val="0099333C"/>
    <w:rsid w:val="00993EE7"/>
    <w:rsid w:val="009940BD"/>
    <w:rsid w:val="009946A3"/>
    <w:rsid w:val="00994AE2"/>
    <w:rsid w:val="00995799"/>
    <w:rsid w:val="00996508"/>
    <w:rsid w:val="009A0250"/>
    <w:rsid w:val="009A06E3"/>
    <w:rsid w:val="009A217C"/>
    <w:rsid w:val="009A37CB"/>
    <w:rsid w:val="009A3BB3"/>
    <w:rsid w:val="009A3DA9"/>
    <w:rsid w:val="009A3DE0"/>
    <w:rsid w:val="009A46E2"/>
    <w:rsid w:val="009A4B56"/>
    <w:rsid w:val="009A5620"/>
    <w:rsid w:val="009A682D"/>
    <w:rsid w:val="009A6E2B"/>
    <w:rsid w:val="009A794C"/>
    <w:rsid w:val="009B05E8"/>
    <w:rsid w:val="009B1623"/>
    <w:rsid w:val="009B258F"/>
    <w:rsid w:val="009B3667"/>
    <w:rsid w:val="009B3D65"/>
    <w:rsid w:val="009B5403"/>
    <w:rsid w:val="009B5A67"/>
    <w:rsid w:val="009B6174"/>
    <w:rsid w:val="009B6B72"/>
    <w:rsid w:val="009B6E31"/>
    <w:rsid w:val="009B6E5C"/>
    <w:rsid w:val="009C0053"/>
    <w:rsid w:val="009C0F2E"/>
    <w:rsid w:val="009C3605"/>
    <w:rsid w:val="009C3DDD"/>
    <w:rsid w:val="009C51A2"/>
    <w:rsid w:val="009C543A"/>
    <w:rsid w:val="009C5A07"/>
    <w:rsid w:val="009C660A"/>
    <w:rsid w:val="009C7403"/>
    <w:rsid w:val="009C7C77"/>
    <w:rsid w:val="009D04B0"/>
    <w:rsid w:val="009D16D0"/>
    <w:rsid w:val="009D23AD"/>
    <w:rsid w:val="009D32A6"/>
    <w:rsid w:val="009D3F59"/>
    <w:rsid w:val="009D469F"/>
    <w:rsid w:val="009D491D"/>
    <w:rsid w:val="009D4EBC"/>
    <w:rsid w:val="009D5182"/>
    <w:rsid w:val="009D53E5"/>
    <w:rsid w:val="009D61EF"/>
    <w:rsid w:val="009D77B4"/>
    <w:rsid w:val="009D7D18"/>
    <w:rsid w:val="009E1216"/>
    <w:rsid w:val="009E166A"/>
    <w:rsid w:val="009E18C2"/>
    <w:rsid w:val="009E2978"/>
    <w:rsid w:val="009E2B72"/>
    <w:rsid w:val="009E2BA7"/>
    <w:rsid w:val="009E4134"/>
    <w:rsid w:val="009E4517"/>
    <w:rsid w:val="009E4760"/>
    <w:rsid w:val="009E721D"/>
    <w:rsid w:val="009F09CF"/>
    <w:rsid w:val="009F0C15"/>
    <w:rsid w:val="009F1012"/>
    <w:rsid w:val="009F1144"/>
    <w:rsid w:val="009F218B"/>
    <w:rsid w:val="009F3110"/>
    <w:rsid w:val="009F47CB"/>
    <w:rsid w:val="009F52D4"/>
    <w:rsid w:val="009F68F4"/>
    <w:rsid w:val="00A0041D"/>
    <w:rsid w:val="00A00634"/>
    <w:rsid w:val="00A023E9"/>
    <w:rsid w:val="00A04151"/>
    <w:rsid w:val="00A042EB"/>
    <w:rsid w:val="00A0489E"/>
    <w:rsid w:val="00A04AB8"/>
    <w:rsid w:val="00A05F27"/>
    <w:rsid w:val="00A10640"/>
    <w:rsid w:val="00A13DC2"/>
    <w:rsid w:val="00A13E5B"/>
    <w:rsid w:val="00A1548B"/>
    <w:rsid w:val="00A16737"/>
    <w:rsid w:val="00A17022"/>
    <w:rsid w:val="00A17AED"/>
    <w:rsid w:val="00A217CE"/>
    <w:rsid w:val="00A21DD1"/>
    <w:rsid w:val="00A220CA"/>
    <w:rsid w:val="00A221E4"/>
    <w:rsid w:val="00A23205"/>
    <w:rsid w:val="00A23B7B"/>
    <w:rsid w:val="00A23E8D"/>
    <w:rsid w:val="00A240C4"/>
    <w:rsid w:val="00A2459E"/>
    <w:rsid w:val="00A24B5E"/>
    <w:rsid w:val="00A24C8C"/>
    <w:rsid w:val="00A25B25"/>
    <w:rsid w:val="00A2601F"/>
    <w:rsid w:val="00A30304"/>
    <w:rsid w:val="00A30C5F"/>
    <w:rsid w:val="00A31257"/>
    <w:rsid w:val="00A31504"/>
    <w:rsid w:val="00A3287C"/>
    <w:rsid w:val="00A32AF5"/>
    <w:rsid w:val="00A32C0C"/>
    <w:rsid w:val="00A33362"/>
    <w:rsid w:val="00A33677"/>
    <w:rsid w:val="00A33E75"/>
    <w:rsid w:val="00A34421"/>
    <w:rsid w:val="00A34731"/>
    <w:rsid w:val="00A34A9E"/>
    <w:rsid w:val="00A3567C"/>
    <w:rsid w:val="00A3588A"/>
    <w:rsid w:val="00A35B73"/>
    <w:rsid w:val="00A35D46"/>
    <w:rsid w:val="00A365C4"/>
    <w:rsid w:val="00A371B3"/>
    <w:rsid w:val="00A37741"/>
    <w:rsid w:val="00A400FA"/>
    <w:rsid w:val="00A41242"/>
    <w:rsid w:val="00A42417"/>
    <w:rsid w:val="00A42EE6"/>
    <w:rsid w:val="00A44864"/>
    <w:rsid w:val="00A44FAD"/>
    <w:rsid w:val="00A451AE"/>
    <w:rsid w:val="00A458E1"/>
    <w:rsid w:val="00A464A9"/>
    <w:rsid w:val="00A4671C"/>
    <w:rsid w:val="00A504BD"/>
    <w:rsid w:val="00A51BB3"/>
    <w:rsid w:val="00A51D7A"/>
    <w:rsid w:val="00A5251F"/>
    <w:rsid w:val="00A52ED3"/>
    <w:rsid w:val="00A530FB"/>
    <w:rsid w:val="00A53387"/>
    <w:rsid w:val="00A54B58"/>
    <w:rsid w:val="00A550BB"/>
    <w:rsid w:val="00A55137"/>
    <w:rsid w:val="00A551FD"/>
    <w:rsid w:val="00A561E4"/>
    <w:rsid w:val="00A568F5"/>
    <w:rsid w:val="00A574C5"/>
    <w:rsid w:val="00A60633"/>
    <w:rsid w:val="00A60DD0"/>
    <w:rsid w:val="00A60F17"/>
    <w:rsid w:val="00A62376"/>
    <w:rsid w:val="00A6381B"/>
    <w:rsid w:val="00A6480F"/>
    <w:rsid w:val="00A64CDB"/>
    <w:rsid w:val="00A658C4"/>
    <w:rsid w:val="00A66E25"/>
    <w:rsid w:val="00A6765E"/>
    <w:rsid w:val="00A67F1D"/>
    <w:rsid w:val="00A705BC"/>
    <w:rsid w:val="00A70962"/>
    <w:rsid w:val="00A710BD"/>
    <w:rsid w:val="00A73F22"/>
    <w:rsid w:val="00A73FCA"/>
    <w:rsid w:val="00A740FB"/>
    <w:rsid w:val="00A74D38"/>
    <w:rsid w:val="00A74E5A"/>
    <w:rsid w:val="00A74F53"/>
    <w:rsid w:val="00A75815"/>
    <w:rsid w:val="00A77881"/>
    <w:rsid w:val="00A803C9"/>
    <w:rsid w:val="00A80491"/>
    <w:rsid w:val="00A81B7D"/>
    <w:rsid w:val="00A84B0B"/>
    <w:rsid w:val="00A84D12"/>
    <w:rsid w:val="00A84E14"/>
    <w:rsid w:val="00A85447"/>
    <w:rsid w:val="00A86216"/>
    <w:rsid w:val="00A91850"/>
    <w:rsid w:val="00A92608"/>
    <w:rsid w:val="00A92704"/>
    <w:rsid w:val="00A941F9"/>
    <w:rsid w:val="00A94745"/>
    <w:rsid w:val="00A95092"/>
    <w:rsid w:val="00A9517C"/>
    <w:rsid w:val="00A96F19"/>
    <w:rsid w:val="00A96F28"/>
    <w:rsid w:val="00AA167B"/>
    <w:rsid w:val="00AA3E60"/>
    <w:rsid w:val="00AA4109"/>
    <w:rsid w:val="00AA44AC"/>
    <w:rsid w:val="00AA6359"/>
    <w:rsid w:val="00AA713E"/>
    <w:rsid w:val="00AA721F"/>
    <w:rsid w:val="00AA755E"/>
    <w:rsid w:val="00AB0CD4"/>
    <w:rsid w:val="00AB0FB3"/>
    <w:rsid w:val="00AB1D18"/>
    <w:rsid w:val="00AB28A0"/>
    <w:rsid w:val="00AB3AA9"/>
    <w:rsid w:val="00AB3B71"/>
    <w:rsid w:val="00AB40CC"/>
    <w:rsid w:val="00AB417A"/>
    <w:rsid w:val="00AB5451"/>
    <w:rsid w:val="00AC0337"/>
    <w:rsid w:val="00AC038A"/>
    <w:rsid w:val="00AC214E"/>
    <w:rsid w:val="00AC222F"/>
    <w:rsid w:val="00AC294B"/>
    <w:rsid w:val="00AC2C32"/>
    <w:rsid w:val="00AC3877"/>
    <w:rsid w:val="00AC420C"/>
    <w:rsid w:val="00AC44B0"/>
    <w:rsid w:val="00AC47B2"/>
    <w:rsid w:val="00AC518F"/>
    <w:rsid w:val="00AC535F"/>
    <w:rsid w:val="00AC68C7"/>
    <w:rsid w:val="00AC7523"/>
    <w:rsid w:val="00AC765A"/>
    <w:rsid w:val="00AC7D78"/>
    <w:rsid w:val="00AC7D9C"/>
    <w:rsid w:val="00AD10C4"/>
    <w:rsid w:val="00AD168D"/>
    <w:rsid w:val="00AD1CF5"/>
    <w:rsid w:val="00AD1FCA"/>
    <w:rsid w:val="00AD2F7A"/>
    <w:rsid w:val="00AD3454"/>
    <w:rsid w:val="00AD3623"/>
    <w:rsid w:val="00AD4EA2"/>
    <w:rsid w:val="00AD64E7"/>
    <w:rsid w:val="00AD7EBD"/>
    <w:rsid w:val="00AE0753"/>
    <w:rsid w:val="00AE1866"/>
    <w:rsid w:val="00AE2C9C"/>
    <w:rsid w:val="00AE2EEB"/>
    <w:rsid w:val="00AE3D50"/>
    <w:rsid w:val="00AE417E"/>
    <w:rsid w:val="00AE4E4C"/>
    <w:rsid w:val="00AE4FFD"/>
    <w:rsid w:val="00AE5D16"/>
    <w:rsid w:val="00AE61C0"/>
    <w:rsid w:val="00AE6932"/>
    <w:rsid w:val="00AE709C"/>
    <w:rsid w:val="00AE7CF8"/>
    <w:rsid w:val="00AF12A7"/>
    <w:rsid w:val="00AF279C"/>
    <w:rsid w:val="00AF2915"/>
    <w:rsid w:val="00AF2CAE"/>
    <w:rsid w:val="00AF3E2C"/>
    <w:rsid w:val="00AF47F0"/>
    <w:rsid w:val="00AF53DF"/>
    <w:rsid w:val="00AF5561"/>
    <w:rsid w:val="00AF5FA2"/>
    <w:rsid w:val="00AF6AAD"/>
    <w:rsid w:val="00AF7A18"/>
    <w:rsid w:val="00AF7DAE"/>
    <w:rsid w:val="00B00358"/>
    <w:rsid w:val="00B00FC4"/>
    <w:rsid w:val="00B0115E"/>
    <w:rsid w:val="00B02202"/>
    <w:rsid w:val="00B022EE"/>
    <w:rsid w:val="00B03A98"/>
    <w:rsid w:val="00B05BD1"/>
    <w:rsid w:val="00B05FD2"/>
    <w:rsid w:val="00B06877"/>
    <w:rsid w:val="00B06C3E"/>
    <w:rsid w:val="00B06FA9"/>
    <w:rsid w:val="00B073D3"/>
    <w:rsid w:val="00B07561"/>
    <w:rsid w:val="00B07676"/>
    <w:rsid w:val="00B10566"/>
    <w:rsid w:val="00B10B77"/>
    <w:rsid w:val="00B1285A"/>
    <w:rsid w:val="00B13656"/>
    <w:rsid w:val="00B15E8B"/>
    <w:rsid w:val="00B16615"/>
    <w:rsid w:val="00B16627"/>
    <w:rsid w:val="00B168BD"/>
    <w:rsid w:val="00B17697"/>
    <w:rsid w:val="00B20229"/>
    <w:rsid w:val="00B22A0F"/>
    <w:rsid w:val="00B2301C"/>
    <w:rsid w:val="00B23369"/>
    <w:rsid w:val="00B23664"/>
    <w:rsid w:val="00B24F20"/>
    <w:rsid w:val="00B25479"/>
    <w:rsid w:val="00B268F8"/>
    <w:rsid w:val="00B27737"/>
    <w:rsid w:val="00B30D88"/>
    <w:rsid w:val="00B311D9"/>
    <w:rsid w:val="00B319D0"/>
    <w:rsid w:val="00B324B9"/>
    <w:rsid w:val="00B326BE"/>
    <w:rsid w:val="00B32AEA"/>
    <w:rsid w:val="00B33437"/>
    <w:rsid w:val="00B337F2"/>
    <w:rsid w:val="00B33B0D"/>
    <w:rsid w:val="00B33C37"/>
    <w:rsid w:val="00B34AB2"/>
    <w:rsid w:val="00B3563A"/>
    <w:rsid w:val="00B35C12"/>
    <w:rsid w:val="00B36169"/>
    <w:rsid w:val="00B361E6"/>
    <w:rsid w:val="00B36BE5"/>
    <w:rsid w:val="00B37577"/>
    <w:rsid w:val="00B378FB"/>
    <w:rsid w:val="00B40D82"/>
    <w:rsid w:val="00B425EE"/>
    <w:rsid w:val="00B42997"/>
    <w:rsid w:val="00B431EA"/>
    <w:rsid w:val="00B44041"/>
    <w:rsid w:val="00B441B9"/>
    <w:rsid w:val="00B44BB4"/>
    <w:rsid w:val="00B467DB"/>
    <w:rsid w:val="00B46B69"/>
    <w:rsid w:val="00B470D7"/>
    <w:rsid w:val="00B47B07"/>
    <w:rsid w:val="00B503CD"/>
    <w:rsid w:val="00B50BE0"/>
    <w:rsid w:val="00B5262C"/>
    <w:rsid w:val="00B533C9"/>
    <w:rsid w:val="00B5387B"/>
    <w:rsid w:val="00B53FFF"/>
    <w:rsid w:val="00B542DB"/>
    <w:rsid w:val="00B5454D"/>
    <w:rsid w:val="00B556C5"/>
    <w:rsid w:val="00B55C9E"/>
    <w:rsid w:val="00B572E0"/>
    <w:rsid w:val="00B573B6"/>
    <w:rsid w:val="00B57747"/>
    <w:rsid w:val="00B57AF6"/>
    <w:rsid w:val="00B60719"/>
    <w:rsid w:val="00B60969"/>
    <w:rsid w:val="00B60ABC"/>
    <w:rsid w:val="00B6354D"/>
    <w:rsid w:val="00B63F23"/>
    <w:rsid w:val="00B643E5"/>
    <w:rsid w:val="00B65127"/>
    <w:rsid w:val="00B661D9"/>
    <w:rsid w:val="00B662F7"/>
    <w:rsid w:val="00B71D4E"/>
    <w:rsid w:val="00B71FD1"/>
    <w:rsid w:val="00B72B95"/>
    <w:rsid w:val="00B738FD"/>
    <w:rsid w:val="00B741AA"/>
    <w:rsid w:val="00B75F7C"/>
    <w:rsid w:val="00B77BB3"/>
    <w:rsid w:val="00B804FF"/>
    <w:rsid w:val="00B80B55"/>
    <w:rsid w:val="00B80E27"/>
    <w:rsid w:val="00B80F6C"/>
    <w:rsid w:val="00B8179F"/>
    <w:rsid w:val="00B8229E"/>
    <w:rsid w:val="00B82502"/>
    <w:rsid w:val="00B83B2A"/>
    <w:rsid w:val="00B8540F"/>
    <w:rsid w:val="00B86BB1"/>
    <w:rsid w:val="00B87342"/>
    <w:rsid w:val="00B91209"/>
    <w:rsid w:val="00B91B9E"/>
    <w:rsid w:val="00B9295F"/>
    <w:rsid w:val="00B9318D"/>
    <w:rsid w:val="00B93308"/>
    <w:rsid w:val="00B93371"/>
    <w:rsid w:val="00B93D07"/>
    <w:rsid w:val="00B96CA4"/>
    <w:rsid w:val="00B96D07"/>
    <w:rsid w:val="00BA016D"/>
    <w:rsid w:val="00BA0262"/>
    <w:rsid w:val="00BA0D6B"/>
    <w:rsid w:val="00BA1675"/>
    <w:rsid w:val="00BA31D4"/>
    <w:rsid w:val="00BA34C1"/>
    <w:rsid w:val="00BA360C"/>
    <w:rsid w:val="00BA4415"/>
    <w:rsid w:val="00BA5763"/>
    <w:rsid w:val="00BA57DB"/>
    <w:rsid w:val="00BA5D38"/>
    <w:rsid w:val="00BA6011"/>
    <w:rsid w:val="00BA7363"/>
    <w:rsid w:val="00BA7C63"/>
    <w:rsid w:val="00BB11C8"/>
    <w:rsid w:val="00BB1ADB"/>
    <w:rsid w:val="00BB2825"/>
    <w:rsid w:val="00BB295A"/>
    <w:rsid w:val="00BB5004"/>
    <w:rsid w:val="00BB5F2C"/>
    <w:rsid w:val="00BB6133"/>
    <w:rsid w:val="00BB61D0"/>
    <w:rsid w:val="00BB6334"/>
    <w:rsid w:val="00BB697D"/>
    <w:rsid w:val="00BB6C39"/>
    <w:rsid w:val="00BB7204"/>
    <w:rsid w:val="00BB75E9"/>
    <w:rsid w:val="00BB789D"/>
    <w:rsid w:val="00BB7CDA"/>
    <w:rsid w:val="00BC049D"/>
    <w:rsid w:val="00BC2281"/>
    <w:rsid w:val="00BC2804"/>
    <w:rsid w:val="00BC35AA"/>
    <w:rsid w:val="00BC44F1"/>
    <w:rsid w:val="00BC4967"/>
    <w:rsid w:val="00BC4F87"/>
    <w:rsid w:val="00BC6211"/>
    <w:rsid w:val="00BC6D6F"/>
    <w:rsid w:val="00BC74BC"/>
    <w:rsid w:val="00BC770F"/>
    <w:rsid w:val="00BD0591"/>
    <w:rsid w:val="00BD2F6F"/>
    <w:rsid w:val="00BD351F"/>
    <w:rsid w:val="00BD37F9"/>
    <w:rsid w:val="00BD3A09"/>
    <w:rsid w:val="00BD56B6"/>
    <w:rsid w:val="00BD5A6A"/>
    <w:rsid w:val="00BD7BE2"/>
    <w:rsid w:val="00BE0327"/>
    <w:rsid w:val="00BE2336"/>
    <w:rsid w:val="00BE26FE"/>
    <w:rsid w:val="00BE284D"/>
    <w:rsid w:val="00BE4DAF"/>
    <w:rsid w:val="00BE5DEF"/>
    <w:rsid w:val="00BE6CF2"/>
    <w:rsid w:val="00BE7550"/>
    <w:rsid w:val="00BE78D4"/>
    <w:rsid w:val="00BF1AD2"/>
    <w:rsid w:val="00BF3FF6"/>
    <w:rsid w:val="00BF4BAE"/>
    <w:rsid w:val="00BF50E1"/>
    <w:rsid w:val="00BF6906"/>
    <w:rsid w:val="00BF71A9"/>
    <w:rsid w:val="00BF7432"/>
    <w:rsid w:val="00C010AF"/>
    <w:rsid w:val="00C01125"/>
    <w:rsid w:val="00C02F20"/>
    <w:rsid w:val="00C043CC"/>
    <w:rsid w:val="00C05C37"/>
    <w:rsid w:val="00C07226"/>
    <w:rsid w:val="00C07BCE"/>
    <w:rsid w:val="00C10FFF"/>
    <w:rsid w:val="00C113B4"/>
    <w:rsid w:val="00C125D2"/>
    <w:rsid w:val="00C1378E"/>
    <w:rsid w:val="00C139AB"/>
    <w:rsid w:val="00C13D4B"/>
    <w:rsid w:val="00C13F13"/>
    <w:rsid w:val="00C149F3"/>
    <w:rsid w:val="00C14F96"/>
    <w:rsid w:val="00C15277"/>
    <w:rsid w:val="00C20CB0"/>
    <w:rsid w:val="00C21F95"/>
    <w:rsid w:val="00C226C6"/>
    <w:rsid w:val="00C2276C"/>
    <w:rsid w:val="00C22BAB"/>
    <w:rsid w:val="00C237EC"/>
    <w:rsid w:val="00C23ACB"/>
    <w:rsid w:val="00C23F17"/>
    <w:rsid w:val="00C2586D"/>
    <w:rsid w:val="00C259EF"/>
    <w:rsid w:val="00C26176"/>
    <w:rsid w:val="00C2652E"/>
    <w:rsid w:val="00C26A0F"/>
    <w:rsid w:val="00C26C52"/>
    <w:rsid w:val="00C2770C"/>
    <w:rsid w:val="00C300BE"/>
    <w:rsid w:val="00C30446"/>
    <w:rsid w:val="00C306CF"/>
    <w:rsid w:val="00C30E3F"/>
    <w:rsid w:val="00C31BA7"/>
    <w:rsid w:val="00C31FCA"/>
    <w:rsid w:val="00C3232D"/>
    <w:rsid w:val="00C3243A"/>
    <w:rsid w:val="00C33045"/>
    <w:rsid w:val="00C334BB"/>
    <w:rsid w:val="00C34184"/>
    <w:rsid w:val="00C345D8"/>
    <w:rsid w:val="00C345DC"/>
    <w:rsid w:val="00C34876"/>
    <w:rsid w:val="00C351FE"/>
    <w:rsid w:val="00C41A6C"/>
    <w:rsid w:val="00C42C03"/>
    <w:rsid w:val="00C4343B"/>
    <w:rsid w:val="00C436C2"/>
    <w:rsid w:val="00C445F5"/>
    <w:rsid w:val="00C44F4A"/>
    <w:rsid w:val="00C45C67"/>
    <w:rsid w:val="00C4651C"/>
    <w:rsid w:val="00C46BFB"/>
    <w:rsid w:val="00C46D89"/>
    <w:rsid w:val="00C46E01"/>
    <w:rsid w:val="00C500AE"/>
    <w:rsid w:val="00C50191"/>
    <w:rsid w:val="00C501FB"/>
    <w:rsid w:val="00C50A4B"/>
    <w:rsid w:val="00C52666"/>
    <w:rsid w:val="00C53413"/>
    <w:rsid w:val="00C534D8"/>
    <w:rsid w:val="00C53D56"/>
    <w:rsid w:val="00C54158"/>
    <w:rsid w:val="00C54EB1"/>
    <w:rsid w:val="00C55A54"/>
    <w:rsid w:val="00C60348"/>
    <w:rsid w:val="00C60EB5"/>
    <w:rsid w:val="00C61C2E"/>
    <w:rsid w:val="00C622DB"/>
    <w:rsid w:val="00C63BEC"/>
    <w:rsid w:val="00C65301"/>
    <w:rsid w:val="00C65EAE"/>
    <w:rsid w:val="00C66168"/>
    <w:rsid w:val="00C67D33"/>
    <w:rsid w:val="00C7096A"/>
    <w:rsid w:val="00C711E6"/>
    <w:rsid w:val="00C7334B"/>
    <w:rsid w:val="00C73B33"/>
    <w:rsid w:val="00C73FBB"/>
    <w:rsid w:val="00C745A4"/>
    <w:rsid w:val="00C74712"/>
    <w:rsid w:val="00C74B32"/>
    <w:rsid w:val="00C751B0"/>
    <w:rsid w:val="00C7573E"/>
    <w:rsid w:val="00C76904"/>
    <w:rsid w:val="00C76FF1"/>
    <w:rsid w:val="00C77F4D"/>
    <w:rsid w:val="00C8023F"/>
    <w:rsid w:val="00C80370"/>
    <w:rsid w:val="00C80626"/>
    <w:rsid w:val="00C8072B"/>
    <w:rsid w:val="00C81445"/>
    <w:rsid w:val="00C83348"/>
    <w:rsid w:val="00C83C12"/>
    <w:rsid w:val="00C8557A"/>
    <w:rsid w:val="00C85788"/>
    <w:rsid w:val="00C85956"/>
    <w:rsid w:val="00C864A5"/>
    <w:rsid w:val="00C929CC"/>
    <w:rsid w:val="00C92F58"/>
    <w:rsid w:val="00C9325F"/>
    <w:rsid w:val="00C93956"/>
    <w:rsid w:val="00C93AC0"/>
    <w:rsid w:val="00C95695"/>
    <w:rsid w:val="00C96D97"/>
    <w:rsid w:val="00C971C3"/>
    <w:rsid w:val="00C97407"/>
    <w:rsid w:val="00C9763D"/>
    <w:rsid w:val="00CA05C8"/>
    <w:rsid w:val="00CA077E"/>
    <w:rsid w:val="00CA1110"/>
    <w:rsid w:val="00CA229A"/>
    <w:rsid w:val="00CA2327"/>
    <w:rsid w:val="00CA2766"/>
    <w:rsid w:val="00CA2DD3"/>
    <w:rsid w:val="00CA2F87"/>
    <w:rsid w:val="00CA384B"/>
    <w:rsid w:val="00CA4C24"/>
    <w:rsid w:val="00CA5B77"/>
    <w:rsid w:val="00CA5DA8"/>
    <w:rsid w:val="00CA67F1"/>
    <w:rsid w:val="00CA7E81"/>
    <w:rsid w:val="00CB039F"/>
    <w:rsid w:val="00CB130B"/>
    <w:rsid w:val="00CB20A6"/>
    <w:rsid w:val="00CB32D0"/>
    <w:rsid w:val="00CB3405"/>
    <w:rsid w:val="00CB38C7"/>
    <w:rsid w:val="00CB3FD5"/>
    <w:rsid w:val="00CB65F0"/>
    <w:rsid w:val="00CB6BD4"/>
    <w:rsid w:val="00CB6E3B"/>
    <w:rsid w:val="00CB72A0"/>
    <w:rsid w:val="00CC0237"/>
    <w:rsid w:val="00CC0784"/>
    <w:rsid w:val="00CC235E"/>
    <w:rsid w:val="00CC2B6A"/>
    <w:rsid w:val="00CC2C25"/>
    <w:rsid w:val="00CC370A"/>
    <w:rsid w:val="00CC3DC4"/>
    <w:rsid w:val="00CC4815"/>
    <w:rsid w:val="00CC538E"/>
    <w:rsid w:val="00CC644A"/>
    <w:rsid w:val="00CC6E45"/>
    <w:rsid w:val="00CC7F6D"/>
    <w:rsid w:val="00CD0210"/>
    <w:rsid w:val="00CD10FB"/>
    <w:rsid w:val="00CD1E76"/>
    <w:rsid w:val="00CD2F10"/>
    <w:rsid w:val="00CD600A"/>
    <w:rsid w:val="00CD60B6"/>
    <w:rsid w:val="00CD6EF8"/>
    <w:rsid w:val="00CD74B5"/>
    <w:rsid w:val="00CD7D9E"/>
    <w:rsid w:val="00CE09DD"/>
    <w:rsid w:val="00CE1F98"/>
    <w:rsid w:val="00CE2B30"/>
    <w:rsid w:val="00CE304A"/>
    <w:rsid w:val="00CE43DC"/>
    <w:rsid w:val="00CE4799"/>
    <w:rsid w:val="00CE4FD3"/>
    <w:rsid w:val="00CE515C"/>
    <w:rsid w:val="00CE5489"/>
    <w:rsid w:val="00CE698D"/>
    <w:rsid w:val="00CF063F"/>
    <w:rsid w:val="00CF0BDF"/>
    <w:rsid w:val="00CF1A29"/>
    <w:rsid w:val="00CF3066"/>
    <w:rsid w:val="00CF30FE"/>
    <w:rsid w:val="00CF4304"/>
    <w:rsid w:val="00CF4873"/>
    <w:rsid w:val="00CF55B8"/>
    <w:rsid w:val="00CF57FE"/>
    <w:rsid w:val="00CF5BA8"/>
    <w:rsid w:val="00CF5FDA"/>
    <w:rsid w:val="00CF680B"/>
    <w:rsid w:val="00CF70F2"/>
    <w:rsid w:val="00CF72D3"/>
    <w:rsid w:val="00CF7959"/>
    <w:rsid w:val="00D00F10"/>
    <w:rsid w:val="00D023A8"/>
    <w:rsid w:val="00D02572"/>
    <w:rsid w:val="00D03485"/>
    <w:rsid w:val="00D0349B"/>
    <w:rsid w:val="00D03E74"/>
    <w:rsid w:val="00D0419F"/>
    <w:rsid w:val="00D04996"/>
    <w:rsid w:val="00D056FE"/>
    <w:rsid w:val="00D05DBB"/>
    <w:rsid w:val="00D070F5"/>
    <w:rsid w:val="00D07923"/>
    <w:rsid w:val="00D07BEE"/>
    <w:rsid w:val="00D07C49"/>
    <w:rsid w:val="00D07C71"/>
    <w:rsid w:val="00D07E4E"/>
    <w:rsid w:val="00D113E4"/>
    <w:rsid w:val="00D130EA"/>
    <w:rsid w:val="00D141D3"/>
    <w:rsid w:val="00D157B4"/>
    <w:rsid w:val="00D16743"/>
    <w:rsid w:val="00D16FEC"/>
    <w:rsid w:val="00D1721C"/>
    <w:rsid w:val="00D17288"/>
    <w:rsid w:val="00D175AE"/>
    <w:rsid w:val="00D179E4"/>
    <w:rsid w:val="00D17FF8"/>
    <w:rsid w:val="00D212CB"/>
    <w:rsid w:val="00D21788"/>
    <w:rsid w:val="00D21ABE"/>
    <w:rsid w:val="00D21CC3"/>
    <w:rsid w:val="00D21FB9"/>
    <w:rsid w:val="00D2217A"/>
    <w:rsid w:val="00D22EDA"/>
    <w:rsid w:val="00D24F3C"/>
    <w:rsid w:val="00D25876"/>
    <w:rsid w:val="00D26792"/>
    <w:rsid w:val="00D269F2"/>
    <w:rsid w:val="00D27B6B"/>
    <w:rsid w:val="00D316EC"/>
    <w:rsid w:val="00D3268E"/>
    <w:rsid w:val="00D32695"/>
    <w:rsid w:val="00D33311"/>
    <w:rsid w:val="00D35AA4"/>
    <w:rsid w:val="00D35F1C"/>
    <w:rsid w:val="00D37311"/>
    <w:rsid w:val="00D409D5"/>
    <w:rsid w:val="00D41337"/>
    <w:rsid w:val="00D415D6"/>
    <w:rsid w:val="00D41A5D"/>
    <w:rsid w:val="00D41EBB"/>
    <w:rsid w:val="00D42104"/>
    <w:rsid w:val="00D422B8"/>
    <w:rsid w:val="00D428CA"/>
    <w:rsid w:val="00D42D56"/>
    <w:rsid w:val="00D43228"/>
    <w:rsid w:val="00D43ABC"/>
    <w:rsid w:val="00D44197"/>
    <w:rsid w:val="00D44D08"/>
    <w:rsid w:val="00D4519E"/>
    <w:rsid w:val="00D47536"/>
    <w:rsid w:val="00D5017A"/>
    <w:rsid w:val="00D50B44"/>
    <w:rsid w:val="00D512C1"/>
    <w:rsid w:val="00D51504"/>
    <w:rsid w:val="00D51B38"/>
    <w:rsid w:val="00D52C92"/>
    <w:rsid w:val="00D5314A"/>
    <w:rsid w:val="00D53194"/>
    <w:rsid w:val="00D53301"/>
    <w:rsid w:val="00D55426"/>
    <w:rsid w:val="00D55D87"/>
    <w:rsid w:val="00D56596"/>
    <w:rsid w:val="00D576F2"/>
    <w:rsid w:val="00D57FBC"/>
    <w:rsid w:val="00D600CC"/>
    <w:rsid w:val="00D60139"/>
    <w:rsid w:val="00D60462"/>
    <w:rsid w:val="00D60EEC"/>
    <w:rsid w:val="00D61CBD"/>
    <w:rsid w:val="00D620D8"/>
    <w:rsid w:val="00D654FF"/>
    <w:rsid w:val="00D65730"/>
    <w:rsid w:val="00D7068D"/>
    <w:rsid w:val="00D70D72"/>
    <w:rsid w:val="00D71101"/>
    <w:rsid w:val="00D714EE"/>
    <w:rsid w:val="00D73432"/>
    <w:rsid w:val="00D76B9E"/>
    <w:rsid w:val="00D76C12"/>
    <w:rsid w:val="00D77293"/>
    <w:rsid w:val="00D772B4"/>
    <w:rsid w:val="00D7781B"/>
    <w:rsid w:val="00D77F62"/>
    <w:rsid w:val="00D80875"/>
    <w:rsid w:val="00D80963"/>
    <w:rsid w:val="00D80C8C"/>
    <w:rsid w:val="00D82B72"/>
    <w:rsid w:val="00D83497"/>
    <w:rsid w:val="00D85251"/>
    <w:rsid w:val="00D86221"/>
    <w:rsid w:val="00D86892"/>
    <w:rsid w:val="00D86F1E"/>
    <w:rsid w:val="00D872D7"/>
    <w:rsid w:val="00D90EAE"/>
    <w:rsid w:val="00D91020"/>
    <w:rsid w:val="00D917A2"/>
    <w:rsid w:val="00D92F47"/>
    <w:rsid w:val="00D93698"/>
    <w:rsid w:val="00D93FE3"/>
    <w:rsid w:val="00D94FCB"/>
    <w:rsid w:val="00D950EC"/>
    <w:rsid w:val="00D95A5A"/>
    <w:rsid w:val="00D96180"/>
    <w:rsid w:val="00DA08F9"/>
    <w:rsid w:val="00DA2FD1"/>
    <w:rsid w:val="00DA395E"/>
    <w:rsid w:val="00DA3AA9"/>
    <w:rsid w:val="00DA3D73"/>
    <w:rsid w:val="00DA58A5"/>
    <w:rsid w:val="00DA595C"/>
    <w:rsid w:val="00DA6EDB"/>
    <w:rsid w:val="00DA764E"/>
    <w:rsid w:val="00DA7FCC"/>
    <w:rsid w:val="00DB400F"/>
    <w:rsid w:val="00DB42FC"/>
    <w:rsid w:val="00DB4DE3"/>
    <w:rsid w:val="00DB5701"/>
    <w:rsid w:val="00DB5E6A"/>
    <w:rsid w:val="00DB6186"/>
    <w:rsid w:val="00DB6A58"/>
    <w:rsid w:val="00DB6D2D"/>
    <w:rsid w:val="00DB7E65"/>
    <w:rsid w:val="00DC0ED1"/>
    <w:rsid w:val="00DC30A4"/>
    <w:rsid w:val="00DC340F"/>
    <w:rsid w:val="00DC3A42"/>
    <w:rsid w:val="00DC3FF4"/>
    <w:rsid w:val="00DC442C"/>
    <w:rsid w:val="00DC485F"/>
    <w:rsid w:val="00DC4C5C"/>
    <w:rsid w:val="00DC565A"/>
    <w:rsid w:val="00DC5D05"/>
    <w:rsid w:val="00DC6798"/>
    <w:rsid w:val="00DC6A75"/>
    <w:rsid w:val="00DC6B82"/>
    <w:rsid w:val="00DC6C9B"/>
    <w:rsid w:val="00DC6D89"/>
    <w:rsid w:val="00DC7728"/>
    <w:rsid w:val="00DD0A2B"/>
    <w:rsid w:val="00DD26A6"/>
    <w:rsid w:val="00DD2C59"/>
    <w:rsid w:val="00DD3558"/>
    <w:rsid w:val="00DD3645"/>
    <w:rsid w:val="00DD3657"/>
    <w:rsid w:val="00DD3F25"/>
    <w:rsid w:val="00DD41AB"/>
    <w:rsid w:val="00DD506D"/>
    <w:rsid w:val="00DD5AB3"/>
    <w:rsid w:val="00DD6277"/>
    <w:rsid w:val="00DD6A47"/>
    <w:rsid w:val="00DD6B74"/>
    <w:rsid w:val="00DD7198"/>
    <w:rsid w:val="00DE0A57"/>
    <w:rsid w:val="00DE21D5"/>
    <w:rsid w:val="00DE2A75"/>
    <w:rsid w:val="00DE2CA5"/>
    <w:rsid w:val="00DE34B3"/>
    <w:rsid w:val="00DE3B2A"/>
    <w:rsid w:val="00DE4266"/>
    <w:rsid w:val="00DE47DB"/>
    <w:rsid w:val="00DE5054"/>
    <w:rsid w:val="00DE577A"/>
    <w:rsid w:val="00DE5C0F"/>
    <w:rsid w:val="00DE5DBA"/>
    <w:rsid w:val="00DE6614"/>
    <w:rsid w:val="00DE6D70"/>
    <w:rsid w:val="00DE7769"/>
    <w:rsid w:val="00DF00A9"/>
    <w:rsid w:val="00DF0C1F"/>
    <w:rsid w:val="00DF2A04"/>
    <w:rsid w:val="00DF2B12"/>
    <w:rsid w:val="00DF2D70"/>
    <w:rsid w:val="00DF2F53"/>
    <w:rsid w:val="00DF37E9"/>
    <w:rsid w:val="00DF4CBC"/>
    <w:rsid w:val="00DF564B"/>
    <w:rsid w:val="00DF599B"/>
    <w:rsid w:val="00DF59A2"/>
    <w:rsid w:val="00DF71D1"/>
    <w:rsid w:val="00DF780A"/>
    <w:rsid w:val="00E000E3"/>
    <w:rsid w:val="00E00ECC"/>
    <w:rsid w:val="00E01217"/>
    <w:rsid w:val="00E01521"/>
    <w:rsid w:val="00E015AF"/>
    <w:rsid w:val="00E037FC"/>
    <w:rsid w:val="00E03B09"/>
    <w:rsid w:val="00E04226"/>
    <w:rsid w:val="00E044A6"/>
    <w:rsid w:val="00E04637"/>
    <w:rsid w:val="00E05167"/>
    <w:rsid w:val="00E05381"/>
    <w:rsid w:val="00E0555A"/>
    <w:rsid w:val="00E06EE6"/>
    <w:rsid w:val="00E070FD"/>
    <w:rsid w:val="00E07EED"/>
    <w:rsid w:val="00E11581"/>
    <w:rsid w:val="00E11877"/>
    <w:rsid w:val="00E11BD9"/>
    <w:rsid w:val="00E12213"/>
    <w:rsid w:val="00E132CB"/>
    <w:rsid w:val="00E14972"/>
    <w:rsid w:val="00E14D24"/>
    <w:rsid w:val="00E16F57"/>
    <w:rsid w:val="00E20109"/>
    <w:rsid w:val="00E20C4E"/>
    <w:rsid w:val="00E22C99"/>
    <w:rsid w:val="00E22D88"/>
    <w:rsid w:val="00E23977"/>
    <w:rsid w:val="00E24021"/>
    <w:rsid w:val="00E24290"/>
    <w:rsid w:val="00E24B7B"/>
    <w:rsid w:val="00E271B5"/>
    <w:rsid w:val="00E3062F"/>
    <w:rsid w:val="00E310EE"/>
    <w:rsid w:val="00E31255"/>
    <w:rsid w:val="00E3196B"/>
    <w:rsid w:val="00E325BC"/>
    <w:rsid w:val="00E32DFB"/>
    <w:rsid w:val="00E3425A"/>
    <w:rsid w:val="00E34AB5"/>
    <w:rsid w:val="00E359EE"/>
    <w:rsid w:val="00E40629"/>
    <w:rsid w:val="00E40729"/>
    <w:rsid w:val="00E411EE"/>
    <w:rsid w:val="00E413A7"/>
    <w:rsid w:val="00E418B7"/>
    <w:rsid w:val="00E430BD"/>
    <w:rsid w:val="00E445A0"/>
    <w:rsid w:val="00E446F4"/>
    <w:rsid w:val="00E4480B"/>
    <w:rsid w:val="00E455A5"/>
    <w:rsid w:val="00E46117"/>
    <w:rsid w:val="00E505B4"/>
    <w:rsid w:val="00E505E8"/>
    <w:rsid w:val="00E51B9C"/>
    <w:rsid w:val="00E523DC"/>
    <w:rsid w:val="00E52EAA"/>
    <w:rsid w:val="00E53B0C"/>
    <w:rsid w:val="00E540D3"/>
    <w:rsid w:val="00E548C0"/>
    <w:rsid w:val="00E54CD5"/>
    <w:rsid w:val="00E568B1"/>
    <w:rsid w:val="00E56F60"/>
    <w:rsid w:val="00E57DD7"/>
    <w:rsid w:val="00E60E97"/>
    <w:rsid w:val="00E617B3"/>
    <w:rsid w:val="00E61DC8"/>
    <w:rsid w:val="00E62B09"/>
    <w:rsid w:val="00E636E2"/>
    <w:rsid w:val="00E64FF7"/>
    <w:rsid w:val="00E6509B"/>
    <w:rsid w:val="00E655A2"/>
    <w:rsid w:val="00E6711D"/>
    <w:rsid w:val="00E67AA8"/>
    <w:rsid w:val="00E67F8E"/>
    <w:rsid w:val="00E712C0"/>
    <w:rsid w:val="00E74C19"/>
    <w:rsid w:val="00E74DCF"/>
    <w:rsid w:val="00E74EC8"/>
    <w:rsid w:val="00E754AC"/>
    <w:rsid w:val="00E755BA"/>
    <w:rsid w:val="00E7591B"/>
    <w:rsid w:val="00E7596A"/>
    <w:rsid w:val="00E75B11"/>
    <w:rsid w:val="00E75BD7"/>
    <w:rsid w:val="00E763CC"/>
    <w:rsid w:val="00E77E74"/>
    <w:rsid w:val="00E802D0"/>
    <w:rsid w:val="00E82B41"/>
    <w:rsid w:val="00E83178"/>
    <w:rsid w:val="00E8354D"/>
    <w:rsid w:val="00E83C78"/>
    <w:rsid w:val="00E856E4"/>
    <w:rsid w:val="00E85789"/>
    <w:rsid w:val="00E85D7B"/>
    <w:rsid w:val="00E866A2"/>
    <w:rsid w:val="00E901CD"/>
    <w:rsid w:val="00E901FC"/>
    <w:rsid w:val="00E9164F"/>
    <w:rsid w:val="00E91A96"/>
    <w:rsid w:val="00E92947"/>
    <w:rsid w:val="00E9365B"/>
    <w:rsid w:val="00E94B7B"/>
    <w:rsid w:val="00E96202"/>
    <w:rsid w:val="00EA0DC4"/>
    <w:rsid w:val="00EA1047"/>
    <w:rsid w:val="00EA1086"/>
    <w:rsid w:val="00EA160A"/>
    <w:rsid w:val="00EA23A0"/>
    <w:rsid w:val="00EA2B8B"/>
    <w:rsid w:val="00EA2E46"/>
    <w:rsid w:val="00EA4A91"/>
    <w:rsid w:val="00EA4F77"/>
    <w:rsid w:val="00EA5E41"/>
    <w:rsid w:val="00EA76F5"/>
    <w:rsid w:val="00EA7EA0"/>
    <w:rsid w:val="00EA7F9D"/>
    <w:rsid w:val="00EB00FA"/>
    <w:rsid w:val="00EB01A1"/>
    <w:rsid w:val="00EB023A"/>
    <w:rsid w:val="00EB1577"/>
    <w:rsid w:val="00EB239D"/>
    <w:rsid w:val="00EB282F"/>
    <w:rsid w:val="00EB2D23"/>
    <w:rsid w:val="00EB2E91"/>
    <w:rsid w:val="00EB3D9F"/>
    <w:rsid w:val="00EB3EAB"/>
    <w:rsid w:val="00EB4BBE"/>
    <w:rsid w:val="00EB5212"/>
    <w:rsid w:val="00EB559D"/>
    <w:rsid w:val="00EB6BD5"/>
    <w:rsid w:val="00EB6F0A"/>
    <w:rsid w:val="00EB7AE4"/>
    <w:rsid w:val="00EB7CCF"/>
    <w:rsid w:val="00EB7D44"/>
    <w:rsid w:val="00EC1BDC"/>
    <w:rsid w:val="00EC2081"/>
    <w:rsid w:val="00EC30A1"/>
    <w:rsid w:val="00EC37B2"/>
    <w:rsid w:val="00EC4A46"/>
    <w:rsid w:val="00EC5510"/>
    <w:rsid w:val="00EC5D78"/>
    <w:rsid w:val="00EC61D7"/>
    <w:rsid w:val="00EC703F"/>
    <w:rsid w:val="00EC705E"/>
    <w:rsid w:val="00ED0BF9"/>
    <w:rsid w:val="00ED0F18"/>
    <w:rsid w:val="00ED1FCA"/>
    <w:rsid w:val="00ED274C"/>
    <w:rsid w:val="00ED3907"/>
    <w:rsid w:val="00ED3C2C"/>
    <w:rsid w:val="00ED53AE"/>
    <w:rsid w:val="00ED576A"/>
    <w:rsid w:val="00ED5D07"/>
    <w:rsid w:val="00ED5E1D"/>
    <w:rsid w:val="00ED6981"/>
    <w:rsid w:val="00ED6C58"/>
    <w:rsid w:val="00ED7039"/>
    <w:rsid w:val="00ED7560"/>
    <w:rsid w:val="00ED758B"/>
    <w:rsid w:val="00ED7E64"/>
    <w:rsid w:val="00EE0B11"/>
    <w:rsid w:val="00EE193C"/>
    <w:rsid w:val="00EE343E"/>
    <w:rsid w:val="00EE34F8"/>
    <w:rsid w:val="00EE3FEF"/>
    <w:rsid w:val="00EE5C1F"/>
    <w:rsid w:val="00EE65B6"/>
    <w:rsid w:val="00EE666E"/>
    <w:rsid w:val="00EE7A3C"/>
    <w:rsid w:val="00EE7D64"/>
    <w:rsid w:val="00EF0AFF"/>
    <w:rsid w:val="00EF2534"/>
    <w:rsid w:val="00EF2554"/>
    <w:rsid w:val="00EF28F7"/>
    <w:rsid w:val="00EF5680"/>
    <w:rsid w:val="00EF56D8"/>
    <w:rsid w:val="00EF5B48"/>
    <w:rsid w:val="00EF7A5D"/>
    <w:rsid w:val="00F01271"/>
    <w:rsid w:val="00F0127C"/>
    <w:rsid w:val="00F01ACA"/>
    <w:rsid w:val="00F01C85"/>
    <w:rsid w:val="00F02A3F"/>
    <w:rsid w:val="00F049F9"/>
    <w:rsid w:val="00F057AC"/>
    <w:rsid w:val="00F059B9"/>
    <w:rsid w:val="00F0625F"/>
    <w:rsid w:val="00F064F7"/>
    <w:rsid w:val="00F06B7D"/>
    <w:rsid w:val="00F06D12"/>
    <w:rsid w:val="00F06D19"/>
    <w:rsid w:val="00F0726B"/>
    <w:rsid w:val="00F076CB"/>
    <w:rsid w:val="00F10F79"/>
    <w:rsid w:val="00F1179A"/>
    <w:rsid w:val="00F117A3"/>
    <w:rsid w:val="00F11960"/>
    <w:rsid w:val="00F11A91"/>
    <w:rsid w:val="00F120FF"/>
    <w:rsid w:val="00F14E45"/>
    <w:rsid w:val="00F1553A"/>
    <w:rsid w:val="00F15D5E"/>
    <w:rsid w:val="00F162EA"/>
    <w:rsid w:val="00F174A9"/>
    <w:rsid w:val="00F20737"/>
    <w:rsid w:val="00F20DA5"/>
    <w:rsid w:val="00F219CB"/>
    <w:rsid w:val="00F21B6F"/>
    <w:rsid w:val="00F22034"/>
    <w:rsid w:val="00F24420"/>
    <w:rsid w:val="00F2489B"/>
    <w:rsid w:val="00F24918"/>
    <w:rsid w:val="00F255D6"/>
    <w:rsid w:val="00F25A48"/>
    <w:rsid w:val="00F26240"/>
    <w:rsid w:val="00F26DD8"/>
    <w:rsid w:val="00F27927"/>
    <w:rsid w:val="00F27EE4"/>
    <w:rsid w:val="00F30473"/>
    <w:rsid w:val="00F30553"/>
    <w:rsid w:val="00F30626"/>
    <w:rsid w:val="00F313E0"/>
    <w:rsid w:val="00F3235D"/>
    <w:rsid w:val="00F32DE4"/>
    <w:rsid w:val="00F33A33"/>
    <w:rsid w:val="00F35420"/>
    <w:rsid w:val="00F35C49"/>
    <w:rsid w:val="00F36CB8"/>
    <w:rsid w:val="00F36FB8"/>
    <w:rsid w:val="00F37C77"/>
    <w:rsid w:val="00F40C89"/>
    <w:rsid w:val="00F411C8"/>
    <w:rsid w:val="00F4122F"/>
    <w:rsid w:val="00F41B43"/>
    <w:rsid w:val="00F41BBB"/>
    <w:rsid w:val="00F422B9"/>
    <w:rsid w:val="00F4478E"/>
    <w:rsid w:val="00F44C17"/>
    <w:rsid w:val="00F44F08"/>
    <w:rsid w:val="00F45851"/>
    <w:rsid w:val="00F45C57"/>
    <w:rsid w:val="00F467D5"/>
    <w:rsid w:val="00F46EA4"/>
    <w:rsid w:val="00F47CA7"/>
    <w:rsid w:val="00F50570"/>
    <w:rsid w:val="00F524F4"/>
    <w:rsid w:val="00F52E75"/>
    <w:rsid w:val="00F5417E"/>
    <w:rsid w:val="00F545F7"/>
    <w:rsid w:val="00F5488F"/>
    <w:rsid w:val="00F559B8"/>
    <w:rsid w:val="00F55B76"/>
    <w:rsid w:val="00F55F4E"/>
    <w:rsid w:val="00F5620F"/>
    <w:rsid w:val="00F565FD"/>
    <w:rsid w:val="00F60C4E"/>
    <w:rsid w:val="00F6120F"/>
    <w:rsid w:val="00F61E4C"/>
    <w:rsid w:val="00F6256D"/>
    <w:rsid w:val="00F62750"/>
    <w:rsid w:val="00F62FAE"/>
    <w:rsid w:val="00F6308E"/>
    <w:rsid w:val="00F630A0"/>
    <w:rsid w:val="00F63165"/>
    <w:rsid w:val="00F637CF"/>
    <w:rsid w:val="00F63D7E"/>
    <w:rsid w:val="00F643EC"/>
    <w:rsid w:val="00F65050"/>
    <w:rsid w:val="00F654EA"/>
    <w:rsid w:val="00F66C32"/>
    <w:rsid w:val="00F6705D"/>
    <w:rsid w:val="00F67468"/>
    <w:rsid w:val="00F67C24"/>
    <w:rsid w:val="00F700E4"/>
    <w:rsid w:val="00F70B3B"/>
    <w:rsid w:val="00F71210"/>
    <w:rsid w:val="00F713C9"/>
    <w:rsid w:val="00F7155E"/>
    <w:rsid w:val="00F7164B"/>
    <w:rsid w:val="00F7195C"/>
    <w:rsid w:val="00F72C5F"/>
    <w:rsid w:val="00F7332F"/>
    <w:rsid w:val="00F74402"/>
    <w:rsid w:val="00F74DD6"/>
    <w:rsid w:val="00F75D10"/>
    <w:rsid w:val="00F75E13"/>
    <w:rsid w:val="00F76DF2"/>
    <w:rsid w:val="00F77AB2"/>
    <w:rsid w:val="00F77C33"/>
    <w:rsid w:val="00F77E43"/>
    <w:rsid w:val="00F80DAF"/>
    <w:rsid w:val="00F80EBD"/>
    <w:rsid w:val="00F849C2"/>
    <w:rsid w:val="00F84A1F"/>
    <w:rsid w:val="00F84BCD"/>
    <w:rsid w:val="00F858A4"/>
    <w:rsid w:val="00F858AB"/>
    <w:rsid w:val="00F85F83"/>
    <w:rsid w:val="00F85F9E"/>
    <w:rsid w:val="00F86797"/>
    <w:rsid w:val="00F868F0"/>
    <w:rsid w:val="00F8740C"/>
    <w:rsid w:val="00F87B36"/>
    <w:rsid w:val="00F87EB5"/>
    <w:rsid w:val="00F904E9"/>
    <w:rsid w:val="00F904EF"/>
    <w:rsid w:val="00F90F7B"/>
    <w:rsid w:val="00F913D4"/>
    <w:rsid w:val="00F914EB"/>
    <w:rsid w:val="00F918BA"/>
    <w:rsid w:val="00F92A19"/>
    <w:rsid w:val="00F93A45"/>
    <w:rsid w:val="00F94728"/>
    <w:rsid w:val="00F95D2E"/>
    <w:rsid w:val="00F95D6F"/>
    <w:rsid w:val="00FA022C"/>
    <w:rsid w:val="00FA06E2"/>
    <w:rsid w:val="00FA0938"/>
    <w:rsid w:val="00FA18F8"/>
    <w:rsid w:val="00FA21FA"/>
    <w:rsid w:val="00FA397F"/>
    <w:rsid w:val="00FA484C"/>
    <w:rsid w:val="00FA71BF"/>
    <w:rsid w:val="00FA7342"/>
    <w:rsid w:val="00FA73E2"/>
    <w:rsid w:val="00FA749D"/>
    <w:rsid w:val="00FB0E28"/>
    <w:rsid w:val="00FB15EF"/>
    <w:rsid w:val="00FB1AE4"/>
    <w:rsid w:val="00FB2377"/>
    <w:rsid w:val="00FB2E5A"/>
    <w:rsid w:val="00FB2F5F"/>
    <w:rsid w:val="00FB3082"/>
    <w:rsid w:val="00FB34B8"/>
    <w:rsid w:val="00FB37A0"/>
    <w:rsid w:val="00FB460D"/>
    <w:rsid w:val="00FB479C"/>
    <w:rsid w:val="00FB4B45"/>
    <w:rsid w:val="00FB4BC2"/>
    <w:rsid w:val="00FB5C9C"/>
    <w:rsid w:val="00FC0384"/>
    <w:rsid w:val="00FC06D1"/>
    <w:rsid w:val="00FC0FA7"/>
    <w:rsid w:val="00FC1980"/>
    <w:rsid w:val="00FC29F3"/>
    <w:rsid w:val="00FC375F"/>
    <w:rsid w:val="00FC3D0D"/>
    <w:rsid w:val="00FC3FE7"/>
    <w:rsid w:val="00FC4C49"/>
    <w:rsid w:val="00FC65B9"/>
    <w:rsid w:val="00FC69DE"/>
    <w:rsid w:val="00FC73B8"/>
    <w:rsid w:val="00FC75A6"/>
    <w:rsid w:val="00FD0577"/>
    <w:rsid w:val="00FD101E"/>
    <w:rsid w:val="00FD246C"/>
    <w:rsid w:val="00FD2562"/>
    <w:rsid w:val="00FD2730"/>
    <w:rsid w:val="00FD292F"/>
    <w:rsid w:val="00FD48F4"/>
    <w:rsid w:val="00FD5A58"/>
    <w:rsid w:val="00FD6F44"/>
    <w:rsid w:val="00FD771F"/>
    <w:rsid w:val="00FD7FC1"/>
    <w:rsid w:val="00FE0673"/>
    <w:rsid w:val="00FE20F4"/>
    <w:rsid w:val="00FE3265"/>
    <w:rsid w:val="00FE38F5"/>
    <w:rsid w:val="00FE3B32"/>
    <w:rsid w:val="00FE44C8"/>
    <w:rsid w:val="00FE517B"/>
    <w:rsid w:val="00FE6435"/>
    <w:rsid w:val="00FE68E1"/>
    <w:rsid w:val="00FE70B3"/>
    <w:rsid w:val="00FE71C6"/>
    <w:rsid w:val="00FE7BCF"/>
    <w:rsid w:val="00FF02B5"/>
    <w:rsid w:val="00FF0EE3"/>
    <w:rsid w:val="00FF1705"/>
    <w:rsid w:val="00FF1A6A"/>
    <w:rsid w:val="00FF3511"/>
    <w:rsid w:val="00FF3752"/>
    <w:rsid w:val="00FF3FEF"/>
    <w:rsid w:val="00FF4180"/>
    <w:rsid w:val="00FF531B"/>
    <w:rsid w:val="00FF6021"/>
    <w:rsid w:val="00FF6563"/>
    <w:rsid w:val="00FF6A33"/>
    <w:rsid w:val="00FF78F3"/>
    <w:rsid w:val="00FF7E63"/>
    <w:rsid w:val="2AF9F5A2"/>
    <w:rsid w:val="3A700CE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763E12"/>
  <w15:docId w15:val="{18397D46-A660-42A5-8948-134F4728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FA"/>
    <w:pPr>
      <w:spacing w:line="240" w:lineRule="auto"/>
      <w:contextualSpacing/>
    </w:pPr>
    <w:rPr>
      <w:rFonts w:ascii="Bookman Old Style" w:hAnsi="Bookman Old Style"/>
      <w:sz w:val="24"/>
    </w:rPr>
  </w:style>
  <w:style w:type="paragraph" w:styleId="Ttulo1">
    <w:name w:val="heading 1"/>
    <w:aliases w:val="ANEXO"/>
    <w:basedOn w:val="Normal"/>
    <w:next w:val="Normal"/>
    <w:link w:val="Ttulo1Car"/>
    <w:qFormat/>
    <w:rsid w:val="005C1BCA"/>
    <w:pPr>
      <w:keepNext/>
      <w:spacing w:after="0"/>
      <w:ind w:left="567"/>
      <w:jc w:val="center"/>
      <w:outlineLvl w:val="0"/>
    </w:pPr>
    <w:rPr>
      <w:rFonts w:ascii="CG Times" w:eastAsia="Times New Roman" w:hAnsi="CG Times" w:cs="Times New Roman"/>
      <w:b/>
      <w:szCs w:val="20"/>
      <w:lang w:eastAsia="es-ES"/>
    </w:rPr>
  </w:style>
  <w:style w:type="paragraph" w:styleId="Ttulo2">
    <w:name w:val="heading 2"/>
    <w:basedOn w:val="Normal"/>
    <w:next w:val="Normal"/>
    <w:link w:val="Ttulo2Car"/>
    <w:unhideWhenUsed/>
    <w:qFormat/>
    <w:rsid w:val="007917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5C1BCA"/>
    <w:pPr>
      <w:keepNext/>
      <w:spacing w:after="0"/>
      <w:ind w:left="567"/>
      <w:jc w:val="center"/>
      <w:outlineLvl w:val="2"/>
    </w:pPr>
    <w:rPr>
      <w:rFonts w:ascii="CG Times" w:eastAsia="Times New Roman" w:hAnsi="CG Times" w:cs="Times New Roman"/>
      <w:b/>
      <w:snapToGrid w:val="0"/>
      <w:color w:val="000000"/>
      <w:szCs w:val="20"/>
      <w:lang w:val="es-ES_tradnl" w:eastAsia="es-ES"/>
    </w:rPr>
  </w:style>
  <w:style w:type="paragraph" w:styleId="Ttulo4">
    <w:name w:val="heading 4"/>
    <w:basedOn w:val="Normal"/>
    <w:next w:val="Normal"/>
    <w:link w:val="Ttulo4Car"/>
    <w:qFormat/>
    <w:rsid w:val="005C1BCA"/>
    <w:pPr>
      <w:keepNext/>
      <w:spacing w:after="0"/>
      <w:ind w:left="567"/>
      <w:jc w:val="center"/>
      <w:outlineLvl w:val="3"/>
    </w:pPr>
    <w:rPr>
      <w:rFonts w:ascii="Arial" w:eastAsia="Times New Roman" w:hAnsi="Arial" w:cs="Arial"/>
      <w:b/>
      <w:snapToGrid w:val="0"/>
      <w:color w:val="000000"/>
      <w:spacing w:val="20"/>
      <w:sz w:val="20"/>
      <w:szCs w:val="20"/>
      <w:lang w:val="es-ES_tradnl" w:eastAsia="es-ES"/>
    </w:rPr>
  </w:style>
  <w:style w:type="paragraph" w:styleId="Ttulo5">
    <w:name w:val="heading 5"/>
    <w:basedOn w:val="Normal"/>
    <w:next w:val="Normal"/>
    <w:link w:val="Ttulo5Car"/>
    <w:qFormat/>
    <w:rsid w:val="005C1BCA"/>
    <w:pPr>
      <w:keepNext/>
      <w:spacing w:after="0"/>
      <w:ind w:left="567"/>
      <w:jc w:val="center"/>
      <w:outlineLvl w:val="4"/>
    </w:pPr>
    <w:rPr>
      <w:rFonts w:ascii="Arial" w:eastAsia="Times New Roman" w:hAnsi="Arial" w:cs="Arial"/>
      <w:b/>
      <w:snapToGrid w:val="0"/>
      <w:color w:val="000000"/>
      <w:spacing w:val="20"/>
      <w:sz w:val="28"/>
      <w:szCs w:val="20"/>
      <w:lang w:val="es-ES_tradnl" w:eastAsia="es-ES"/>
    </w:rPr>
  </w:style>
  <w:style w:type="paragraph" w:styleId="Ttulo6">
    <w:name w:val="heading 6"/>
    <w:basedOn w:val="Normal"/>
    <w:next w:val="Normal"/>
    <w:link w:val="Ttulo6Car"/>
    <w:uiPriority w:val="9"/>
    <w:unhideWhenUsed/>
    <w:qFormat/>
    <w:rsid w:val="005C1BCA"/>
    <w:pPr>
      <w:spacing w:before="240" w:after="60"/>
      <w:ind w:left="567"/>
      <w:outlineLvl w:val="5"/>
    </w:pPr>
    <w:rPr>
      <w:rFonts w:ascii="Calibri" w:eastAsia="Times New Roman" w:hAnsi="Calibri" w:cs="Times New Roman"/>
      <w:b/>
      <w:bCs/>
      <w:lang w:val="es-ES" w:eastAsia="es-ES"/>
    </w:rPr>
  </w:style>
  <w:style w:type="paragraph" w:styleId="Ttulo7">
    <w:name w:val="heading 7"/>
    <w:basedOn w:val="Normal"/>
    <w:next w:val="Normal"/>
    <w:link w:val="Ttulo7Car"/>
    <w:uiPriority w:val="9"/>
    <w:unhideWhenUsed/>
    <w:qFormat/>
    <w:rsid w:val="005C1BCA"/>
    <w:pPr>
      <w:spacing w:before="240" w:after="60"/>
      <w:ind w:left="567"/>
      <w:outlineLvl w:val="6"/>
    </w:pPr>
    <w:rPr>
      <w:rFonts w:ascii="Calibri" w:eastAsia="Times New Roman" w:hAnsi="Calibri" w:cs="Times New Roman"/>
      <w:szCs w:val="24"/>
      <w:lang w:val="es-ES" w:eastAsia="es-ES"/>
    </w:rPr>
  </w:style>
  <w:style w:type="paragraph" w:styleId="Ttulo8">
    <w:name w:val="heading 8"/>
    <w:basedOn w:val="Normal"/>
    <w:next w:val="Normal"/>
    <w:link w:val="Ttulo8Car"/>
    <w:uiPriority w:val="9"/>
    <w:qFormat/>
    <w:rsid w:val="00E015AF"/>
    <w:pPr>
      <w:keepNext/>
      <w:spacing w:before="160" w:after="160"/>
      <w:ind w:left="1440" w:hanging="1440"/>
      <w:contextualSpacing w:val="0"/>
      <w:jc w:val="center"/>
      <w:outlineLvl w:val="7"/>
    </w:pPr>
    <w:rPr>
      <w:rFonts w:ascii="Arial" w:eastAsia="Times New Roman" w:hAnsi="Arial" w:cs="Arial"/>
      <w:b/>
      <w:sz w:val="22"/>
      <w:szCs w:val="20"/>
      <w:lang w:eastAsia="es-ES"/>
    </w:rPr>
  </w:style>
  <w:style w:type="paragraph" w:styleId="Ttulo9">
    <w:name w:val="heading 9"/>
    <w:basedOn w:val="Normal"/>
    <w:next w:val="Normal"/>
    <w:link w:val="Ttulo9Car"/>
    <w:qFormat/>
    <w:rsid w:val="00E015AF"/>
    <w:pPr>
      <w:keepNext/>
      <w:spacing w:before="160" w:after="160"/>
      <w:ind w:left="1584" w:hanging="1584"/>
      <w:contextualSpacing w:val="0"/>
      <w:jc w:val="both"/>
      <w:outlineLvl w:val="8"/>
    </w:pPr>
    <w:rPr>
      <w:rFonts w:ascii="Arial" w:eastAsia="Times New Roman" w:hAnsi="Arial" w:cs="Times New Roman"/>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5C1BCA"/>
    <w:pPr>
      <w:ind w:left="720"/>
    </w:pPr>
  </w:style>
  <w:style w:type="character" w:customStyle="1" w:styleId="Ttulo1Car">
    <w:name w:val="Título 1 Car"/>
    <w:aliases w:val="ANEXO Car"/>
    <w:basedOn w:val="Fuentedeprrafopredeter"/>
    <w:link w:val="Ttulo1"/>
    <w:rsid w:val="005C1BCA"/>
    <w:rPr>
      <w:rFonts w:ascii="CG Times" w:eastAsia="Times New Roman" w:hAnsi="CG Times" w:cs="Times New Roman"/>
      <w:b/>
      <w:sz w:val="24"/>
      <w:szCs w:val="20"/>
      <w:lang w:eastAsia="es-ES"/>
    </w:rPr>
  </w:style>
  <w:style w:type="character" w:customStyle="1" w:styleId="Ttulo3Car">
    <w:name w:val="Título 3 Car"/>
    <w:basedOn w:val="Fuentedeprrafopredeter"/>
    <w:link w:val="Ttulo3"/>
    <w:uiPriority w:val="9"/>
    <w:rsid w:val="005C1BCA"/>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5C1BCA"/>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5C1BCA"/>
    <w:rPr>
      <w:rFonts w:ascii="Arial" w:eastAsia="Times New Roman" w:hAnsi="Arial" w:cs="Arial"/>
      <w:b/>
      <w:snapToGrid w:val="0"/>
      <w:color w:val="000000"/>
      <w:spacing w:val="20"/>
      <w:sz w:val="28"/>
      <w:szCs w:val="20"/>
      <w:lang w:val="es-ES_tradnl" w:eastAsia="es-ES"/>
    </w:rPr>
  </w:style>
  <w:style w:type="character" w:customStyle="1" w:styleId="Ttulo6Car">
    <w:name w:val="Título 6 Car"/>
    <w:basedOn w:val="Fuentedeprrafopredeter"/>
    <w:link w:val="Ttulo6"/>
    <w:uiPriority w:val="9"/>
    <w:rsid w:val="005C1BCA"/>
    <w:rPr>
      <w:rFonts w:ascii="Calibri" w:eastAsia="Times New Roman" w:hAnsi="Calibri" w:cs="Times New Roman"/>
      <w:b/>
      <w:bCs/>
      <w:lang w:val="es-ES" w:eastAsia="es-ES"/>
    </w:rPr>
  </w:style>
  <w:style w:type="character" w:customStyle="1" w:styleId="Ttulo7Car">
    <w:name w:val="Título 7 Car"/>
    <w:basedOn w:val="Fuentedeprrafopredeter"/>
    <w:link w:val="Ttulo7"/>
    <w:uiPriority w:val="9"/>
    <w:rsid w:val="005C1BCA"/>
    <w:rPr>
      <w:rFonts w:ascii="Calibri" w:eastAsia="Times New Roman" w:hAnsi="Calibri" w:cs="Times New Roman"/>
      <w:sz w:val="24"/>
      <w:szCs w:val="24"/>
      <w:lang w:val="es-ES" w:eastAsia="es-ES"/>
    </w:rPr>
  </w:style>
  <w:style w:type="table" w:styleId="Tablanormal1">
    <w:name w:val="Plain Table 1"/>
    <w:basedOn w:val="Tablanormal"/>
    <w:uiPriority w:val="41"/>
    <w:rsid w:val="009C51A2"/>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rsid w:val="005C1BCA"/>
    <w:pPr>
      <w:tabs>
        <w:tab w:val="center" w:pos="4252"/>
        <w:tab w:val="right" w:pos="8504"/>
      </w:tabs>
      <w:spacing w:after="0"/>
      <w:ind w:left="567"/>
    </w:pPr>
    <w:rPr>
      <w:rFonts w:ascii="CG Times" w:eastAsia="Times New Roman" w:hAnsi="CG Times" w:cs="Times New Roman"/>
      <w:szCs w:val="20"/>
      <w:lang w:eastAsia="es-ES"/>
    </w:rPr>
  </w:style>
  <w:style w:type="character" w:customStyle="1" w:styleId="EncabezadoCar">
    <w:name w:val="Encabezado Car"/>
    <w:basedOn w:val="Fuentedeprrafopredeter"/>
    <w:link w:val="Encabezado"/>
    <w:rsid w:val="005C1BCA"/>
    <w:rPr>
      <w:rFonts w:ascii="CG Times" w:eastAsia="Times New Roman" w:hAnsi="CG Times" w:cs="Times New Roman"/>
      <w:sz w:val="24"/>
      <w:szCs w:val="20"/>
      <w:lang w:eastAsia="es-ES"/>
    </w:rPr>
  </w:style>
  <w:style w:type="paragraph" w:styleId="Piedepgina">
    <w:name w:val="footer"/>
    <w:basedOn w:val="Normal"/>
    <w:link w:val="PiedepginaCar"/>
    <w:rsid w:val="005C1BCA"/>
    <w:pPr>
      <w:tabs>
        <w:tab w:val="center" w:pos="4252"/>
        <w:tab w:val="right" w:pos="8504"/>
      </w:tabs>
      <w:spacing w:after="0"/>
      <w:ind w:left="567"/>
    </w:pPr>
    <w:rPr>
      <w:rFonts w:ascii="Times New Roman" w:eastAsia="Times New Roman" w:hAnsi="Times New Roman" w:cs="Times New Roman"/>
      <w:szCs w:val="24"/>
      <w:lang w:val="es-ES" w:eastAsia="es-ES"/>
    </w:rPr>
  </w:style>
  <w:style w:type="character" w:customStyle="1" w:styleId="PiedepginaCar">
    <w:name w:val="Pie de página Car"/>
    <w:basedOn w:val="Fuentedeprrafopredeter"/>
    <w:link w:val="Piedepgina"/>
    <w:rsid w:val="005C1BCA"/>
    <w:rPr>
      <w:rFonts w:ascii="Times New Roman" w:eastAsia="Times New Roman" w:hAnsi="Times New Roman" w:cs="Times New Roman"/>
      <w:sz w:val="24"/>
      <w:szCs w:val="24"/>
      <w:lang w:val="es-ES" w:eastAsia="es-ES"/>
    </w:rPr>
  </w:style>
  <w:style w:type="paragraph" w:customStyle="1" w:styleId="Estilo1">
    <w:name w:val="Estilo1"/>
    <w:basedOn w:val="Normal"/>
    <w:qFormat/>
    <w:rsid w:val="005C1BCA"/>
    <w:pPr>
      <w:shd w:val="clear" w:color="auto" w:fill="C0C0C0"/>
      <w:spacing w:after="0"/>
      <w:ind w:left="567"/>
      <w:jc w:val="center"/>
    </w:pPr>
    <w:rPr>
      <w:rFonts w:ascii="Comic Sans MS" w:eastAsia="Times New Roman" w:hAnsi="Comic Sans MS" w:cs="Times New Roman"/>
      <w:color w:val="0000FF"/>
      <w:sz w:val="36"/>
      <w:szCs w:val="2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rsid w:val="005C1BCA"/>
  </w:style>
  <w:style w:type="paragraph" w:styleId="Textoindependiente">
    <w:name w:val="Body Text"/>
    <w:basedOn w:val="Normal"/>
    <w:link w:val="TextoindependienteCar"/>
    <w:rsid w:val="005C1BCA"/>
    <w:pPr>
      <w:spacing w:after="0"/>
      <w:ind w:left="567"/>
      <w:jc w:val="center"/>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rsid w:val="005C1BCA"/>
    <w:rPr>
      <w:rFonts w:ascii="Arial" w:eastAsia="Times New Roman" w:hAnsi="Arial" w:cs="Arial"/>
      <w:b/>
      <w:bCs/>
      <w:sz w:val="24"/>
      <w:szCs w:val="24"/>
      <w:lang w:val="es-ES" w:eastAsia="es-ES"/>
    </w:rPr>
  </w:style>
  <w:style w:type="paragraph" w:styleId="Textoindependiente3">
    <w:name w:val="Body Text 3"/>
    <w:basedOn w:val="Normal"/>
    <w:link w:val="Textoindependiente3Car"/>
    <w:uiPriority w:val="99"/>
    <w:rsid w:val="005C1BCA"/>
    <w:pPr>
      <w:spacing w:after="0"/>
      <w:ind w:left="567"/>
      <w:jc w:val="center"/>
      <w:outlineLvl w:val="0"/>
    </w:pPr>
    <w:rPr>
      <w:rFonts w:ascii="Arial" w:eastAsia="Times New Roman" w:hAnsi="Arial" w:cs="Arial"/>
      <w:b/>
      <w:bCs/>
      <w:spacing w:val="-3"/>
      <w:szCs w:val="24"/>
      <w:lang w:val="es-ES" w:eastAsia="es-ES"/>
    </w:rPr>
  </w:style>
  <w:style w:type="character" w:customStyle="1" w:styleId="Textoindependiente3Car">
    <w:name w:val="Texto independiente 3 Car"/>
    <w:basedOn w:val="Fuentedeprrafopredeter"/>
    <w:link w:val="Textoindependiente3"/>
    <w:uiPriority w:val="99"/>
    <w:rsid w:val="005C1BCA"/>
    <w:rPr>
      <w:rFonts w:ascii="Arial" w:eastAsia="Times New Roman" w:hAnsi="Arial" w:cs="Arial"/>
      <w:b/>
      <w:bCs/>
      <w:spacing w:val="-3"/>
      <w:sz w:val="24"/>
      <w:szCs w:val="24"/>
      <w:lang w:val="es-ES" w:eastAsia="es-ES"/>
    </w:rPr>
  </w:style>
  <w:style w:type="paragraph" w:styleId="Textodeglobo">
    <w:name w:val="Balloon Text"/>
    <w:basedOn w:val="Normal"/>
    <w:link w:val="TextodegloboCar"/>
    <w:uiPriority w:val="99"/>
    <w:unhideWhenUsed/>
    <w:rsid w:val="005C1BCA"/>
    <w:pPr>
      <w:spacing w:after="0"/>
      <w:ind w:left="567"/>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5C1BCA"/>
    <w:rPr>
      <w:rFonts w:ascii="Tahoma" w:eastAsia="Times New Roman" w:hAnsi="Tahoma" w:cs="Tahoma"/>
      <w:sz w:val="16"/>
      <w:szCs w:val="16"/>
      <w:lang w:val="es-ES" w:eastAsia="es-ES"/>
    </w:rPr>
  </w:style>
  <w:style w:type="table" w:styleId="Tablaconcuadrcula">
    <w:name w:val="Table Grid"/>
    <w:basedOn w:val="Tablanormal"/>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5C1BCA"/>
    <w:pPr>
      <w:widowControl w:val="0"/>
      <w:adjustRightInd w:val="0"/>
      <w:spacing w:after="0" w:line="360" w:lineRule="atLeast"/>
      <w:ind w:left="567"/>
      <w:jc w:val="center"/>
      <w:textAlignment w:val="baseline"/>
    </w:pPr>
    <w:rPr>
      <w:rFonts w:ascii="Arial" w:eastAsia="Times New Roman" w:hAnsi="Arial" w:cs="Arial"/>
      <w:b/>
      <w:bCs/>
      <w:szCs w:val="24"/>
      <w:lang w:val="es-ES" w:eastAsia="es-ES"/>
    </w:rPr>
  </w:style>
  <w:style w:type="character" w:customStyle="1" w:styleId="TtuloCar">
    <w:name w:val="Título Car"/>
    <w:basedOn w:val="Fuentedeprrafopredeter"/>
    <w:link w:val="Ttulo"/>
    <w:rsid w:val="005C1BCA"/>
    <w:rPr>
      <w:rFonts w:ascii="Arial" w:eastAsia="Times New Roman" w:hAnsi="Arial" w:cs="Arial"/>
      <w:b/>
      <w:bCs/>
      <w:sz w:val="24"/>
      <w:szCs w:val="24"/>
      <w:lang w:val="es-ES" w:eastAsia="es-ES"/>
    </w:rPr>
  </w:style>
  <w:style w:type="character" w:customStyle="1" w:styleId="PrrafodelistaCar">
    <w:name w:val="Párrafo de lista Car"/>
    <w:link w:val="Prrafodelista"/>
    <w:uiPriority w:val="99"/>
    <w:rsid w:val="005C1BCA"/>
  </w:style>
  <w:style w:type="paragraph" w:styleId="TDC1">
    <w:name w:val="toc 1"/>
    <w:basedOn w:val="Normal"/>
    <w:next w:val="Normal"/>
    <w:autoRedefine/>
    <w:uiPriority w:val="39"/>
    <w:qFormat/>
    <w:rsid w:val="005C1BCA"/>
    <w:pPr>
      <w:tabs>
        <w:tab w:val="left" w:pos="480"/>
        <w:tab w:val="right" w:leader="dot" w:pos="8828"/>
      </w:tabs>
      <w:spacing w:before="120" w:after="0"/>
      <w:ind w:left="567"/>
      <w:jc w:val="both"/>
    </w:pPr>
    <w:rPr>
      <w:rFonts w:ascii="Arial" w:eastAsia="Times New Roman" w:hAnsi="Arial" w:cs="Times New Roman"/>
      <w:noProof/>
      <w:szCs w:val="24"/>
      <w:lang w:val="es-ES" w:eastAsia="es-ES"/>
    </w:rPr>
  </w:style>
  <w:style w:type="paragraph" w:styleId="Textodebloque">
    <w:name w:val="Block Text"/>
    <w:basedOn w:val="Normal"/>
    <w:rsid w:val="005C1BCA"/>
    <w:pPr>
      <w:suppressAutoHyphens/>
      <w:spacing w:after="240"/>
      <w:ind w:left="567" w:right="788"/>
      <w:jc w:val="both"/>
    </w:pPr>
    <w:rPr>
      <w:rFonts w:ascii="Arial" w:eastAsia="Times New Roman" w:hAnsi="Arial" w:cs="Times New Roman"/>
      <w:spacing w:val="-3"/>
      <w:szCs w:val="20"/>
      <w:lang w:val="es-ES_tradnl" w:eastAsia="es-ES"/>
    </w:rPr>
  </w:style>
  <w:style w:type="paragraph" w:styleId="Textoindependiente2">
    <w:name w:val="Body Text 2"/>
    <w:basedOn w:val="Normal"/>
    <w:link w:val="Textoindependiente2Car"/>
    <w:unhideWhenUsed/>
    <w:rsid w:val="005C1BCA"/>
    <w:pPr>
      <w:spacing w:after="120" w:line="480" w:lineRule="auto"/>
      <w:ind w:left="567"/>
    </w:pPr>
    <w:rPr>
      <w:rFonts w:ascii="Times New Roman" w:eastAsia="Times New Roman" w:hAnsi="Times New Roman" w:cs="Times New Roman"/>
      <w:szCs w:val="24"/>
      <w:lang w:val="es-ES" w:eastAsia="es-ES"/>
    </w:rPr>
  </w:style>
  <w:style w:type="character" w:customStyle="1" w:styleId="Textoindependiente2Car">
    <w:name w:val="Texto independiente 2 Car"/>
    <w:basedOn w:val="Fuentedeprrafopredeter"/>
    <w:link w:val="Textoindependiente2"/>
    <w:rsid w:val="005C1BCA"/>
    <w:rPr>
      <w:rFonts w:ascii="Times New Roman" w:eastAsia="Times New Roman" w:hAnsi="Times New Roman" w:cs="Times New Roman"/>
      <w:sz w:val="24"/>
      <w:szCs w:val="24"/>
      <w:lang w:val="es-ES" w:eastAsia="es-ES"/>
    </w:rPr>
  </w:style>
  <w:style w:type="paragraph" w:styleId="Descripcin">
    <w:name w:val="caption"/>
    <w:basedOn w:val="Normal"/>
    <w:next w:val="Normal"/>
    <w:link w:val="DescripcinCar"/>
    <w:qFormat/>
    <w:rsid w:val="005C1BCA"/>
    <w:pPr>
      <w:widowControl w:val="0"/>
      <w:adjustRightInd w:val="0"/>
      <w:spacing w:before="120" w:after="120" w:line="360" w:lineRule="atLeast"/>
      <w:jc w:val="center"/>
      <w:textAlignment w:val="baseline"/>
    </w:pPr>
    <w:rPr>
      <w:rFonts w:ascii="Arial" w:eastAsia="Times New Roman" w:hAnsi="Arial" w:cs="Times New Roman"/>
      <w:sz w:val="20"/>
      <w:szCs w:val="20"/>
      <w:lang w:val="es-ES" w:eastAsia="es-ES"/>
    </w:rPr>
  </w:style>
  <w:style w:type="paragraph" w:styleId="Sinespaciado">
    <w:name w:val="No Spacing"/>
    <w:uiPriority w:val="1"/>
    <w:qFormat/>
    <w:rsid w:val="005C1BCA"/>
    <w:pPr>
      <w:spacing w:after="0" w:line="240" w:lineRule="auto"/>
    </w:pPr>
    <w:rPr>
      <w:rFonts w:ascii="Calibri" w:eastAsia="Times New Roman" w:hAnsi="Calibri" w:cs="Calibri"/>
      <w:lang w:val="es-ES"/>
    </w:rPr>
  </w:style>
  <w:style w:type="character" w:customStyle="1" w:styleId="apple-style-span">
    <w:name w:val="apple-style-span"/>
    <w:rsid w:val="005C1BCA"/>
    <w:rPr>
      <w:rFonts w:ascii="Times New Roman" w:hAnsi="Times New Roman" w:cs="Times New Roman"/>
    </w:rPr>
  </w:style>
  <w:style w:type="paragraph" w:styleId="Subttulo">
    <w:name w:val="Subtitle"/>
    <w:basedOn w:val="Normal"/>
    <w:link w:val="SubttuloCar"/>
    <w:qFormat/>
    <w:rsid w:val="005C1BCA"/>
    <w:pPr>
      <w:spacing w:after="0"/>
    </w:pPr>
    <w:rPr>
      <w:rFonts w:ascii="Century Gothic" w:eastAsia="Times New Roman" w:hAnsi="Century Gothic" w:cs="Times New Roman"/>
      <w:b/>
      <w:bCs/>
      <w:szCs w:val="24"/>
      <w:lang w:val="es-ES" w:eastAsia="es-ES"/>
    </w:rPr>
  </w:style>
  <w:style w:type="character" w:customStyle="1" w:styleId="SubttuloCar">
    <w:name w:val="Subtítulo Car"/>
    <w:basedOn w:val="Fuentedeprrafopredeter"/>
    <w:link w:val="Subttulo"/>
    <w:rsid w:val="005C1BCA"/>
    <w:rPr>
      <w:rFonts w:ascii="Century Gothic" w:eastAsia="Times New Roman" w:hAnsi="Century Gothic" w:cs="Times New Roman"/>
      <w:b/>
      <w:bCs/>
      <w:sz w:val="24"/>
      <w:szCs w:val="24"/>
      <w:lang w:val="es-ES" w:eastAsia="es-ES"/>
    </w:rPr>
  </w:style>
  <w:style w:type="character" w:customStyle="1" w:styleId="apple-converted-space">
    <w:name w:val="apple-converted-space"/>
    <w:basedOn w:val="Fuentedeprrafopredeter"/>
    <w:rsid w:val="005C1BCA"/>
  </w:style>
  <w:style w:type="paragraph" w:customStyle="1" w:styleId="BodyText21">
    <w:name w:val="Body Text 21"/>
    <w:basedOn w:val="Normal"/>
    <w:rsid w:val="005C1BC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eastAsia="Times New Roman" w:hAnsi="Arial" w:cs="Times New Roman"/>
      <w:szCs w:val="20"/>
      <w:lang w:val="es-ES" w:eastAsia="es-ES"/>
    </w:rPr>
  </w:style>
  <w:style w:type="paragraph" w:styleId="Sangradetextonormal">
    <w:name w:val="Body Text Indent"/>
    <w:basedOn w:val="Normal"/>
    <w:link w:val="SangradetextonormalCar"/>
    <w:unhideWhenUsed/>
    <w:rsid w:val="005C1BCA"/>
    <w:pPr>
      <w:spacing w:after="120"/>
      <w:ind w:left="283"/>
    </w:pPr>
    <w:rPr>
      <w:rFonts w:ascii="Times New Roman" w:eastAsia="Times New Roman" w:hAnsi="Times New Roman" w:cs="Times New Roman"/>
      <w:szCs w:val="24"/>
      <w:lang w:val="es-ES" w:eastAsia="es-ES"/>
    </w:rPr>
  </w:style>
  <w:style w:type="character" w:customStyle="1" w:styleId="SangradetextonormalCar">
    <w:name w:val="Sangría de texto normal Car"/>
    <w:basedOn w:val="Fuentedeprrafopredeter"/>
    <w:link w:val="Sangradetextonormal"/>
    <w:rsid w:val="005C1BCA"/>
    <w:rPr>
      <w:rFonts w:ascii="Times New Roman" w:eastAsia="Times New Roman" w:hAnsi="Times New Roman" w:cs="Times New Roman"/>
      <w:sz w:val="24"/>
      <w:szCs w:val="24"/>
      <w:lang w:val="es-ES" w:eastAsia="es-ES"/>
    </w:rPr>
  </w:style>
  <w:style w:type="paragraph" w:customStyle="1" w:styleId="Vietaletra">
    <w:name w:val="Viñeta letra"/>
    <w:basedOn w:val="Normal"/>
    <w:next w:val="Normal"/>
    <w:rsid w:val="005C1BCA"/>
    <w:pPr>
      <w:numPr>
        <w:numId w:val="1"/>
      </w:numPr>
      <w:suppressAutoHyphens/>
      <w:overflowPunct w:val="0"/>
      <w:autoSpaceDE w:val="0"/>
      <w:spacing w:after="0"/>
      <w:jc w:val="both"/>
      <w:textAlignment w:val="baseline"/>
    </w:pPr>
    <w:rPr>
      <w:rFonts w:ascii="Arial" w:eastAsia="Times New Roman" w:hAnsi="Arial" w:cs="Times New Roman"/>
      <w:szCs w:val="20"/>
      <w:lang w:val="es-ES_tradnl" w:eastAsia="ar-SA"/>
    </w:rPr>
  </w:style>
  <w:style w:type="paragraph" w:customStyle="1" w:styleId="TableHeading">
    <w:name w:val="Table Heading"/>
    <w:basedOn w:val="Normal"/>
    <w:rsid w:val="005C1BCA"/>
    <w:pPr>
      <w:suppressLineNumbers/>
      <w:suppressAutoHyphens/>
      <w:spacing w:after="0"/>
      <w:jc w:val="center"/>
    </w:pPr>
    <w:rPr>
      <w:rFonts w:ascii="Arial" w:eastAsia="Times New Roman" w:hAnsi="Arial" w:cs="Times New Roman"/>
      <w:b/>
      <w:bCs/>
      <w:szCs w:val="24"/>
      <w:lang w:val="es-ES" w:eastAsia="ar-SA"/>
    </w:rPr>
  </w:style>
  <w:style w:type="paragraph" w:styleId="Sangra2detindependiente">
    <w:name w:val="Body Text Indent 2"/>
    <w:basedOn w:val="Normal"/>
    <w:link w:val="Sangra2detindependienteCar"/>
    <w:unhideWhenUsed/>
    <w:rsid w:val="005C1BCA"/>
    <w:pPr>
      <w:spacing w:after="120" w:line="480" w:lineRule="auto"/>
      <w:ind w:left="283"/>
    </w:pPr>
    <w:rPr>
      <w:rFonts w:ascii="Times New Roman" w:eastAsia="Times New Roman" w:hAnsi="Times New Roman" w:cs="Times New Roman"/>
      <w:szCs w:val="24"/>
      <w:lang w:val="es-ES" w:eastAsia="es-ES"/>
    </w:rPr>
  </w:style>
  <w:style w:type="character" w:customStyle="1" w:styleId="Sangra2detindependienteCar">
    <w:name w:val="Sangría 2 de t. independiente Car"/>
    <w:basedOn w:val="Fuentedeprrafopredeter"/>
    <w:link w:val="Sangra2detindependiente"/>
    <w:rsid w:val="005C1BCA"/>
    <w:rPr>
      <w:rFonts w:ascii="Times New Roman" w:eastAsia="Times New Roman" w:hAnsi="Times New Roman" w:cs="Times New Roman"/>
      <w:sz w:val="24"/>
      <w:szCs w:val="24"/>
      <w:lang w:val="es-ES" w:eastAsia="es-ES"/>
    </w:rPr>
  </w:style>
  <w:style w:type="paragraph" w:customStyle="1" w:styleId="ARTICULOS">
    <w:name w:val="ARTICULOS"/>
    <w:basedOn w:val="Ttulo1"/>
    <w:link w:val="ARTICULOSCar"/>
    <w:qFormat/>
    <w:rsid w:val="00AF6AAD"/>
    <w:pPr>
      <w:widowControl w:val="0"/>
      <w:numPr>
        <w:numId w:val="2"/>
      </w:numPr>
      <w:adjustRightInd w:val="0"/>
      <w:ind w:left="0" w:firstLine="1"/>
      <w:jc w:val="both"/>
      <w:textAlignment w:val="baseline"/>
    </w:pPr>
    <w:rPr>
      <w:rFonts w:ascii="Bookman Old Style" w:hAnsi="Bookman Old Style"/>
      <w:b w:val="0"/>
      <w:bCs/>
      <w:szCs w:val="24"/>
      <w:lang w:val="x-none" w:eastAsia="x-none"/>
    </w:rPr>
  </w:style>
  <w:style w:type="character" w:customStyle="1" w:styleId="ARTICULOSCar">
    <w:name w:val="ARTICULOS Car"/>
    <w:link w:val="ARTICULOS"/>
    <w:rsid w:val="00AF6AAD"/>
    <w:rPr>
      <w:rFonts w:ascii="Bookman Old Style" w:eastAsia="Times New Roman" w:hAnsi="Bookman Old Style" w:cs="Times New Roman"/>
      <w:bCs/>
      <w:sz w:val="24"/>
      <w:szCs w:val="24"/>
      <w:lang w:val="x-none" w:eastAsia="x-none"/>
    </w:rPr>
  </w:style>
  <w:style w:type="character" w:styleId="Textodelmarcadordeposicin">
    <w:name w:val="Placeholder Text"/>
    <w:basedOn w:val="Fuentedeprrafopredeter"/>
    <w:uiPriority w:val="99"/>
    <w:semiHidden/>
    <w:rsid w:val="005C1BCA"/>
    <w:rPr>
      <w:color w:val="80808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rsid w:val="005C1BCA"/>
    <w:pPr>
      <w:spacing w:after="0"/>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5C1BCA"/>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5C1BCA"/>
    <w:rPr>
      <w:vertAlign w:val="superscript"/>
    </w:rPr>
  </w:style>
  <w:style w:type="character" w:styleId="Refdecomentario">
    <w:name w:val="annotation reference"/>
    <w:basedOn w:val="Fuentedeprrafopredeter"/>
    <w:semiHidden/>
    <w:unhideWhenUsed/>
    <w:rsid w:val="005C1BCA"/>
    <w:rPr>
      <w:sz w:val="16"/>
      <w:szCs w:val="16"/>
    </w:rPr>
  </w:style>
  <w:style w:type="paragraph" w:styleId="Textocomentario">
    <w:name w:val="annotation text"/>
    <w:basedOn w:val="Normal"/>
    <w:link w:val="TextocomentarioCar"/>
    <w:unhideWhenUsed/>
    <w:rsid w:val="005C1BCA"/>
    <w:pPr>
      <w:spacing w:after="0"/>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C1BC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5C1BCA"/>
    <w:rPr>
      <w:b/>
      <w:bCs/>
    </w:rPr>
  </w:style>
  <w:style w:type="character" w:customStyle="1" w:styleId="AsuntodelcomentarioCar">
    <w:name w:val="Asunto del comentario Car"/>
    <w:basedOn w:val="TextocomentarioCar"/>
    <w:link w:val="Asuntodelcomentario"/>
    <w:semiHidden/>
    <w:rsid w:val="005C1BC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5C1BC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701265"/>
    <w:pPr>
      <w:spacing w:before="100" w:beforeAutospacing="1" w:after="100" w:afterAutospacing="1"/>
    </w:pPr>
    <w:rPr>
      <w:rFonts w:ascii="Times New Roman" w:eastAsiaTheme="minorEastAsia" w:hAnsi="Times New Roman" w:cs="Times New Roman"/>
      <w:szCs w:val="24"/>
      <w:lang w:eastAsia="es-CO"/>
    </w:rPr>
  </w:style>
  <w:style w:type="table" w:customStyle="1" w:styleId="Tablaconcuadrcula11">
    <w:name w:val="Tabla con cuadrícula11"/>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rsid w:val="007917F3"/>
    <w:rPr>
      <w:rFonts w:asciiTheme="majorHAnsi" w:eastAsiaTheme="majorEastAsia" w:hAnsiTheme="majorHAnsi" w:cstheme="majorBidi"/>
      <w:b/>
      <w:bCs/>
      <w:color w:val="4F81BD" w:themeColor="accent1"/>
      <w:sz w:val="26"/>
      <w:szCs w:val="26"/>
    </w:rPr>
  </w:style>
  <w:style w:type="paragraph" w:styleId="Sangra3detindependiente">
    <w:name w:val="Body Text Indent 3"/>
    <w:basedOn w:val="Normal"/>
    <w:link w:val="Sangra3detindependienteCar"/>
    <w:unhideWhenUsed/>
    <w:rsid w:val="007917F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917F3"/>
    <w:rPr>
      <w:sz w:val="16"/>
      <w:szCs w:val="16"/>
    </w:rPr>
  </w:style>
  <w:style w:type="character" w:styleId="Hipervnculo">
    <w:name w:val="Hyperlink"/>
    <w:basedOn w:val="Fuentedeprrafopredeter"/>
    <w:uiPriority w:val="99"/>
    <w:unhideWhenUsed/>
    <w:rsid w:val="00FD7FC1"/>
    <w:rPr>
      <w:color w:val="0563C1"/>
      <w:u w:val="single"/>
    </w:rPr>
  </w:style>
  <w:style w:type="character" w:styleId="Hipervnculovisitado">
    <w:name w:val="FollowedHyperlink"/>
    <w:basedOn w:val="Fuentedeprrafopredeter"/>
    <w:uiPriority w:val="99"/>
    <w:unhideWhenUsed/>
    <w:rsid w:val="00FD7FC1"/>
    <w:rPr>
      <w:color w:val="954F72"/>
      <w:u w:val="single"/>
    </w:rPr>
  </w:style>
  <w:style w:type="paragraph" w:customStyle="1" w:styleId="xl67">
    <w:name w:val="xl67"/>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es-CO"/>
    </w:rPr>
  </w:style>
  <w:style w:type="paragraph" w:customStyle="1" w:styleId="xl68">
    <w:name w:val="xl68"/>
    <w:basedOn w:val="Normal"/>
    <w:rsid w:val="00FD7FC1"/>
    <w:pPr>
      <w:spacing w:before="100" w:beforeAutospacing="1" w:after="100" w:afterAutospacing="1"/>
    </w:pPr>
    <w:rPr>
      <w:rFonts w:eastAsia="Times New Roman" w:cs="Times New Roman"/>
      <w:szCs w:val="24"/>
      <w:lang w:eastAsia="es-CO"/>
    </w:rPr>
  </w:style>
  <w:style w:type="paragraph" w:customStyle="1" w:styleId="xl69">
    <w:name w:val="xl69"/>
    <w:basedOn w:val="Normal"/>
    <w:rsid w:val="00FD7FC1"/>
    <w:pPr>
      <w:spacing w:before="100" w:beforeAutospacing="1" w:after="100" w:afterAutospacing="1"/>
    </w:pPr>
    <w:rPr>
      <w:rFonts w:eastAsia="Times New Roman" w:cs="Times New Roman"/>
      <w:sz w:val="20"/>
      <w:szCs w:val="20"/>
      <w:lang w:eastAsia="es-CO"/>
    </w:rPr>
  </w:style>
  <w:style w:type="paragraph" w:customStyle="1" w:styleId="xl70">
    <w:name w:val="xl70"/>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es-CO"/>
    </w:rPr>
  </w:style>
  <w:style w:type="paragraph" w:customStyle="1" w:styleId="xl71">
    <w:name w:val="xl71"/>
    <w:basedOn w:val="Normal"/>
    <w:rsid w:val="005F1C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es-CO"/>
    </w:rPr>
  </w:style>
  <w:style w:type="character" w:customStyle="1" w:styleId="Caracteresdenotaalpie">
    <w:name w:val="Caracteres de nota al pie"/>
    <w:rsid w:val="00110447"/>
    <w:rPr>
      <w:vertAlign w:val="superscript"/>
    </w:rPr>
  </w:style>
  <w:style w:type="character" w:customStyle="1" w:styleId="Refdenotaalpie2">
    <w:name w:val="Ref. de nota al pie2"/>
    <w:rsid w:val="00110447"/>
    <w:rPr>
      <w:vertAlign w:val="superscript"/>
    </w:rPr>
  </w:style>
  <w:style w:type="paragraph" w:customStyle="1" w:styleId="Cuadrculamedia21">
    <w:name w:val="Cuadrícula media 21"/>
    <w:rsid w:val="00185CE7"/>
    <w:pPr>
      <w:suppressAutoHyphens/>
      <w:spacing w:after="0" w:line="240" w:lineRule="auto"/>
    </w:pPr>
    <w:rPr>
      <w:rFonts w:ascii="Times New Roman" w:eastAsia="Arial" w:hAnsi="Times New Roman" w:cs="Times New Roman"/>
      <w:sz w:val="24"/>
      <w:szCs w:val="24"/>
      <w:lang w:val="es-ES" w:eastAsia="ar-SA"/>
    </w:rPr>
  </w:style>
  <w:style w:type="character" w:customStyle="1" w:styleId="textodato">
    <w:name w:val="textodato"/>
    <w:rsid w:val="00185CE7"/>
  </w:style>
  <w:style w:type="paragraph" w:styleId="TtuloTDC">
    <w:name w:val="TOC Heading"/>
    <w:basedOn w:val="Ttulo1"/>
    <w:next w:val="Normal"/>
    <w:uiPriority w:val="39"/>
    <w:unhideWhenUsed/>
    <w:qFormat/>
    <w:rsid w:val="00EF5680"/>
    <w:pPr>
      <w:keepLines/>
      <w:spacing w:before="480" w:line="276" w:lineRule="auto"/>
      <w:ind w:left="0"/>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qFormat/>
    <w:rsid w:val="00EF5680"/>
    <w:pPr>
      <w:spacing w:after="100"/>
      <w:ind w:left="220"/>
    </w:pPr>
    <w:rPr>
      <w:lang w:val="es-MX"/>
    </w:rPr>
  </w:style>
  <w:style w:type="paragraph" w:styleId="TDC3">
    <w:name w:val="toc 3"/>
    <w:basedOn w:val="Normal"/>
    <w:next w:val="Normal"/>
    <w:autoRedefine/>
    <w:uiPriority w:val="39"/>
    <w:unhideWhenUsed/>
    <w:qFormat/>
    <w:rsid w:val="00EF5680"/>
    <w:pPr>
      <w:spacing w:after="100"/>
      <w:ind w:left="440"/>
    </w:pPr>
    <w:rPr>
      <w:lang w:val="es-MX"/>
    </w:rPr>
  </w:style>
  <w:style w:type="table" w:styleId="Sombreadomedio1-nfasis1">
    <w:name w:val="Medium Shading 1 Accent 1"/>
    <w:basedOn w:val="Tablanormal"/>
    <w:uiPriority w:val="63"/>
    <w:rsid w:val="00EF56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F568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1">
    <w:name w:val="Medium Shading 2 Accent 1"/>
    <w:basedOn w:val="Tablanormal"/>
    <w:uiPriority w:val="64"/>
    <w:rsid w:val="00EF56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EF56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EF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F5680"/>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semiHidden/>
    <w:unhideWhenUsed/>
    <w:rsid w:val="00EF5680"/>
    <w:pPr>
      <w:spacing w:after="0"/>
    </w:pPr>
    <w:rPr>
      <w:sz w:val="20"/>
      <w:szCs w:val="20"/>
      <w:lang w:val="es-MX"/>
    </w:rPr>
  </w:style>
  <w:style w:type="character" w:customStyle="1" w:styleId="TextonotaalfinalCar">
    <w:name w:val="Texto nota al final Car"/>
    <w:basedOn w:val="Fuentedeprrafopredeter"/>
    <w:link w:val="Textonotaalfinal"/>
    <w:uiPriority w:val="99"/>
    <w:semiHidden/>
    <w:rsid w:val="00EF5680"/>
    <w:rPr>
      <w:sz w:val="20"/>
      <w:szCs w:val="20"/>
      <w:lang w:val="es-MX"/>
    </w:rPr>
  </w:style>
  <w:style w:type="character" w:styleId="Refdenotaalfinal">
    <w:name w:val="endnote reference"/>
    <w:basedOn w:val="Fuentedeprrafopredeter"/>
    <w:uiPriority w:val="99"/>
    <w:semiHidden/>
    <w:unhideWhenUsed/>
    <w:rsid w:val="00EF5680"/>
    <w:rPr>
      <w:vertAlign w:val="superscript"/>
    </w:rPr>
  </w:style>
  <w:style w:type="character" w:customStyle="1" w:styleId="CharStyle11">
    <w:name w:val="Char Style 11"/>
    <w:basedOn w:val="Fuentedeprrafopredeter"/>
    <w:link w:val="Style10"/>
    <w:uiPriority w:val="99"/>
    <w:rsid w:val="00EF5680"/>
    <w:rPr>
      <w:rFonts w:ascii="Arial" w:hAnsi="Arial" w:cs="Arial"/>
      <w:sz w:val="23"/>
      <w:szCs w:val="23"/>
      <w:shd w:val="clear" w:color="auto" w:fill="FFFFFF"/>
    </w:rPr>
  </w:style>
  <w:style w:type="character" w:customStyle="1" w:styleId="CharStyle39">
    <w:name w:val="Char Style 39"/>
    <w:basedOn w:val="CharStyle11"/>
    <w:uiPriority w:val="99"/>
    <w:rsid w:val="00EF5680"/>
    <w:rPr>
      <w:rFonts w:ascii="Arial" w:hAnsi="Arial" w:cs="Arial"/>
      <w:b/>
      <w:bCs/>
      <w:sz w:val="23"/>
      <w:szCs w:val="23"/>
      <w:shd w:val="clear" w:color="auto" w:fill="FFFFFF"/>
    </w:rPr>
  </w:style>
  <w:style w:type="paragraph" w:customStyle="1" w:styleId="Style10">
    <w:name w:val="Style 10"/>
    <w:basedOn w:val="Normal"/>
    <w:link w:val="CharStyle11"/>
    <w:uiPriority w:val="99"/>
    <w:rsid w:val="00EF5680"/>
    <w:pPr>
      <w:widowControl w:val="0"/>
      <w:shd w:val="clear" w:color="auto" w:fill="FFFFFF"/>
      <w:spacing w:before="420" w:after="0" w:line="240" w:lineRule="atLeast"/>
      <w:jc w:val="right"/>
    </w:pPr>
    <w:rPr>
      <w:rFonts w:ascii="Arial" w:hAnsi="Arial" w:cs="Arial"/>
      <w:sz w:val="23"/>
      <w:szCs w:val="23"/>
    </w:rPr>
  </w:style>
  <w:style w:type="character" w:customStyle="1" w:styleId="CharStyle3">
    <w:name w:val="Char Style 3"/>
    <w:basedOn w:val="Fuentedeprrafopredeter"/>
    <w:link w:val="Style2"/>
    <w:uiPriority w:val="99"/>
    <w:rsid w:val="00EF5680"/>
    <w:rPr>
      <w:rFonts w:ascii="Arial" w:hAnsi="Arial" w:cs="Arial"/>
      <w:shd w:val="clear" w:color="auto" w:fill="FFFFFF"/>
    </w:rPr>
  </w:style>
  <w:style w:type="paragraph" w:customStyle="1" w:styleId="Style2">
    <w:name w:val="Style 2"/>
    <w:basedOn w:val="Normal"/>
    <w:link w:val="CharStyle3"/>
    <w:uiPriority w:val="99"/>
    <w:rsid w:val="00EF5680"/>
    <w:pPr>
      <w:widowControl w:val="0"/>
      <w:shd w:val="clear" w:color="auto" w:fill="FFFFFF"/>
      <w:spacing w:after="720" w:line="240" w:lineRule="atLeast"/>
      <w:ind w:hanging="720"/>
      <w:jc w:val="both"/>
    </w:pPr>
    <w:rPr>
      <w:rFonts w:ascii="Arial" w:hAnsi="Arial" w:cs="Arial"/>
    </w:rPr>
  </w:style>
  <w:style w:type="character" w:customStyle="1" w:styleId="CharStyle24">
    <w:name w:val="Char Style 24"/>
    <w:basedOn w:val="Fuentedeprrafopredeter"/>
    <w:link w:val="Style23"/>
    <w:uiPriority w:val="99"/>
    <w:rsid w:val="00EF5680"/>
    <w:rPr>
      <w:rFonts w:ascii="Arial" w:hAnsi="Arial" w:cs="Arial"/>
      <w:sz w:val="19"/>
      <w:szCs w:val="19"/>
      <w:shd w:val="clear" w:color="auto" w:fill="FFFFFF"/>
    </w:rPr>
  </w:style>
  <w:style w:type="paragraph" w:customStyle="1" w:styleId="Style23">
    <w:name w:val="Style 23"/>
    <w:basedOn w:val="Normal"/>
    <w:link w:val="CharStyle24"/>
    <w:uiPriority w:val="99"/>
    <w:rsid w:val="00EF5680"/>
    <w:pPr>
      <w:widowControl w:val="0"/>
      <w:shd w:val="clear" w:color="auto" w:fill="FFFFFF"/>
      <w:spacing w:after="0" w:line="238" w:lineRule="exact"/>
      <w:ind w:hanging="720"/>
      <w:jc w:val="both"/>
    </w:pPr>
    <w:rPr>
      <w:rFonts w:ascii="Arial" w:hAnsi="Arial" w:cs="Arial"/>
      <w:sz w:val="19"/>
      <w:szCs w:val="19"/>
    </w:rPr>
  </w:style>
  <w:style w:type="character" w:customStyle="1" w:styleId="CharStyle7">
    <w:name w:val="Char Style 7"/>
    <w:basedOn w:val="Fuentedeprrafopredeter"/>
    <w:link w:val="Style6"/>
    <w:uiPriority w:val="99"/>
    <w:rsid w:val="00EF5680"/>
    <w:rPr>
      <w:rFonts w:ascii="Arial" w:hAnsi="Arial" w:cs="Arial"/>
      <w:sz w:val="28"/>
      <w:szCs w:val="28"/>
      <w:shd w:val="clear" w:color="auto" w:fill="FFFFFF"/>
    </w:rPr>
  </w:style>
  <w:style w:type="character" w:customStyle="1" w:styleId="CharStyle14">
    <w:name w:val="Char Style 14"/>
    <w:basedOn w:val="Fuentedeprrafopredeter"/>
    <w:link w:val="Style13"/>
    <w:uiPriority w:val="99"/>
    <w:rsid w:val="00EF5680"/>
    <w:rPr>
      <w:rFonts w:ascii="Arial" w:hAnsi="Arial" w:cs="Arial"/>
      <w:i/>
      <w:iCs/>
      <w:sz w:val="26"/>
      <w:szCs w:val="26"/>
      <w:shd w:val="clear" w:color="auto" w:fill="FFFFFF"/>
    </w:rPr>
  </w:style>
  <w:style w:type="character" w:customStyle="1" w:styleId="CharStyle15">
    <w:name w:val="Char Style 15"/>
    <w:basedOn w:val="CharStyle14"/>
    <w:uiPriority w:val="99"/>
    <w:rsid w:val="00EF5680"/>
    <w:rPr>
      <w:rFonts w:ascii="Arial" w:hAnsi="Arial" w:cs="Arial"/>
      <w:i/>
      <w:iCs/>
      <w:spacing w:val="-50"/>
      <w:sz w:val="26"/>
      <w:szCs w:val="26"/>
      <w:shd w:val="clear" w:color="auto" w:fill="FFFFFF"/>
    </w:rPr>
  </w:style>
  <w:style w:type="paragraph" w:customStyle="1" w:styleId="Style6">
    <w:name w:val="Style 6"/>
    <w:basedOn w:val="Normal"/>
    <w:link w:val="CharStyle7"/>
    <w:uiPriority w:val="99"/>
    <w:rsid w:val="00EF5680"/>
    <w:pPr>
      <w:widowControl w:val="0"/>
      <w:shd w:val="clear" w:color="auto" w:fill="FFFFFF"/>
      <w:spacing w:before="180" w:after="420" w:line="240" w:lineRule="atLeast"/>
      <w:ind w:hanging="480"/>
      <w:jc w:val="both"/>
    </w:pPr>
    <w:rPr>
      <w:rFonts w:ascii="Arial" w:hAnsi="Arial" w:cs="Arial"/>
      <w:sz w:val="28"/>
      <w:szCs w:val="28"/>
    </w:rPr>
  </w:style>
  <w:style w:type="paragraph" w:customStyle="1" w:styleId="Style13">
    <w:name w:val="Style 13"/>
    <w:basedOn w:val="Normal"/>
    <w:link w:val="CharStyle14"/>
    <w:uiPriority w:val="99"/>
    <w:rsid w:val="00EF5680"/>
    <w:pPr>
      <w:widowControl w:val="0"/>
      <w:shd w:val="clear" w:color="auto" w:fill="FFFFFF"/>
      <w:spacing w:before="300" w:after="300" w:line="355" w:lineRule="exact"/>
      <w:jc w:val="both"/>
    </w:pPr>
    <w:rPr>
      <w:rFonts w:ascii="Arial" w:hAnsi="Arial" w:cs="Arial"/>
      <w:i/>
      <w:iCs/>
      <w:sz w:val="26"/>
      <w:szCs w:val="26"/>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
    <w:basedOn w:val="Fuentedeprrafopredeter"/>
    <w:uiPriority w:val="99"/>
    <w:semiHidden/>
    <w:rsid w:val="00EF5680"/>
    <w:rPr>
      <w:sz w:val="20"/>
      <w:szCs w:val="20"/>
    </w:rPr>
  </w:style>
  <w:style w:type="paragraph" w:customStyle="1" w:styleId="msonormal0">
    <w:name w:val="msonormal"/>
    <w:basedOn w:val="Normal"/>
    <w:rsid w:val="00EF5680"/>
    <w:pPr>
      <w:spacing w:before="100" w:beforeAutospacing="1" w:after="100" w:afterAutospacing="1"/>
    </w:pPr>
    <w:rPr>
      <w:rFonts w:ascii="Times New Roman" w:eastAsia="Times New Roman" w:hAnsi="Times New Roman" w:cs="Times New Roman"/>
      <w:szCs w:val="24"/>
      <w:lang w:eastAsia="es-CO"/>
    </w:rPr>
  </w:style>
  <w:style w:type="paragraph" w:customStyle="1" w:styleId="xl65">
    <w:name w:val="xl65"/>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es-CO"/>
    </w:rPr>
  </w:style>
  <w:style w:type="paragraph" w:customStyle="1" w:styleId="xl66">
    <w:name w:val="xl66"/>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es-CO"/>
    </w:rPr>
  </w:style>
  <w:style w:type="paragraph" w:customStyle="1" w:styleId="xl72">
    <w:name w:val="xl72"/>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es-CO"/>
    </w:rPr>
  </w:style>
  <w:style w:type="paragraph" w:customStyle="1" w:styleId="xl73">
    <w:name w:val="xl73"/>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es-CO"/>
    </w:rPr>
  </w:style>
  <w:style w:type="character" w:customStyle="1" w:styleId="CharStyle23">
    <w:name w:val="Char Style 23"/>
    <w:basedOn w:val="Fuentedeprrafopredeter"/>
    <w:link w:val="Style22"/>
    <w:uiPriority w:val="99"/>
    <w:rsid w:val="00F313E0"/>
    <w:rPr>
      <w:rFonts w:ascii="Arial" w:hAnsi="Arial" w:cs="Arial"/>
      <w:sz w:val="19"/>
      <w:szCs w:val="19"/>
      <w:shd w:val="clear" w:color="auto" w:fill="FFFFFF"/>
    </w:rPr>
  </w:style>
  <w:style w:type="character" w:customStyle="1" w:styleId="CharStyle29">
    <w:name w:val="Char Style 29"/>
    <w:basedOn w:val="Fuentedeprrafopredeter"/>
    <w:link w:val="Style28"/>
    <w:uiPriority w:val="99"/>
    <w:rsid w:val="00F313E0"/>
    <w:rPr>
      <w:rFonts w:ascii="Arial" w:hAnsi="Arial" w:cs="Arial"/>
      <w:sz w:val="13"/>
      <w:szCs w:val="13"/>
      <w:shd w:val="clear" w:color="auto" w:fill="FFFFFF"/>
    </w:rPr>
  </w:style>
  <w:style w:type="character" w:customStyle="1" w:styleId="CharStyle30">
    <w:name w:val="Char Style 30"/>
    <w:basedOn w:val="CharStyle23"/>
    <w:uiPriority w:val="99"/>
    <w:rsid w:val="00F313E0"/>
    <w:rPr>
      <w:rFonts w:ascii="Arial" w:hAnsi="Arial" w:cs="Arial"/>
      <w:b/>
      <w:bCs/>
      <w:sz w:val="19"/>
      <w:szCs w:val="19"/>
      <w:shd w:val="clear" w:color="auto" w:fill="FFFFFF"/>
    </w:rPr>
  </w:style>
  <w:style w:type="character" w:customStyle="1" w:styleId="CharStyle31">
    <w:name w:val="Char Style 31"/>
    <w:basedOn w:val="CharStyle23"/>
    <w:uiPriority w:val="99"/>
    <w:rsid w:val="00F313E0"/>
    <w:rPr>
      <w:rFonts w:ascii="Arial" w:hAnsi="Arial" w:cs="Arial"/>
      <w:sz w:val="19"/>
      <w:szCs w:val="19"/>
      <w:shd w:val="clear" w:color="auto" w:fill="FFFFFF"/>
    </w:rPr>
  </w:style>
  <w:style w:type="paragraph" w:customStyle="1" w:styleId="Style22">
    <w:name w:val="Style 22"/>
    <w:basedOn w:val="Normal"/>
    <w:link w:val="CharStyle23"/>
    <w:uiPriority w:val="99"/>
    <w:rsid w:val="00F313E0"/>
    <w:pPr>
      <w:widowControl w:val="0"/>
      <w:shd w:val="clear" w:color="auto" w:fill="FFFFFF"/>
      <w:spacing w:before="300" w:after="540" w:line="240" w:lineRule="atLeast"/>
      <w:ind w:hanging="360"/>
      <w:jc w:val="both"/>
    </w:pPr>
    <w:rPr>
      <w:rFonts w:ascii="Arial" w:hAnsi="Arial" w:cs="Arial"/>
      <w:sz w:val="19"/>
      <w:szCs w:val="19"/>
    </w:rPr>
  </w:style>
  <w:style w:type="paragraph" w:customStyle="1" w:styleId="Style28">
    <w:name w:val="Style 28"/>
    <w:basedOn w:val="Normal"/>
    <w:link w:val="CharStyle29"/>
    <w:uiPriority w:val="99"/>
    <w:rsid w:val="00F313E0"/>
    <w:pPr>
      <w:widowControl w:val="0"/>
      <w:shd w:val="clear" w:color="auto" w:fill="FFFFFF"/>
      <w:spacing w:after="0" w:line="240" w:lineRule="atLeast"/>
    </w:pPr>
    <w:rPr>
      <w:rFonts w:ascii="Arial" w:hAnsi="Arial" w:cs="Arial"/>
      <w:sz w:val="13"/>
      <w:szCs w:val="13"/>
    </w:rPr>
  </w:style>
  <w:style w:type="character" w:customStyle="1" w:styleId="CharStyle22">
    <w:name w:val="Char Style 22"/>
    <w:basedOn w:val="Fuentedeprrafopredeter"/>
    <w:link w:val="Style21"/>
    <w:uiPriority w:val="99"/>
    <w:rsid w:val="00F90F7B"/>
    <w:rPr>
      <w:rFonts w:ascii="Arial" w:hAnsi="Arial" w:cs="Arial"/>
      <w:sz w:val="20"/>
      <w:szCs w:val="20"/>
      <w:shd w:val="clear" w:color="auto" w:fill="FFFFFF"/>
    </w:rPr>
  </w:style>
  <w:style w:type="character" w:customStyle="1" w:styleId="CharStyle40">
    <w:name w:val="Char Style 40"/>
    <w:basedOn w:val="CharStyle22"/>
    <w:uiPriority w:val="99"/>
    <w:rsid w:val="00F90F7B"/>
    <w:rPr>
      <w:rFonts w:ascii="Arial" w:hAnsi="Arial" w:cs="Arial"/>
      <w:sz w:val="18"/>
      <w:szCs w:val="18"/>
      <w:shd w:val="clear" w:color="auto" w:fill="FFFFFF"/>
    </w:rPr>
  </w:style>
  <w:style w:type="paragraph" w:customStyle="1" w:styleId="Style21">
    <w:name w:val="Style 21"/>
    <w:basedOn w:val="Normal"/>
    <w:link w:val="CharStyle22"/>
    <w:uiPriority w:val="99"/>
    <w:rsid w:val="00F90F7B"/>
    <w:pPr>
      <w:widowControl w:val="0"/>
      <w:shd w:val="clear" w:color="auto" w:fill="FFFFFF"/>
      <w:spacing w:after="120" w:line="230" w:lineRule="exact"/>
      <w:jc w:val="right"/>
    </w:pPr>
    <w:rPr>
      <w:rFonts w:ascii="Arial" w:hAnsi="Arial" w:cs="Arial"/>
      <w:sz w:val="20"/>
      <w:szCs w:val="20"/>
    </w:rPr>
  </w:style>
  <w:style w:type="character" w:customStyle="1" w:styleId="CharStyle43">
    <w:name w:val="Char Style 43"/>
    <w:basedOn w:val="CharStyle22"/>
    <w:uiPriority w:val="99"/>
    <w:rsid w:val="00F90F7B"/>
    <w:rPr>
      <w:rFonts w:ascii="Arial" w:hAnsi="Arial" w:cs="Arial"/>
      <w:b/>
      <w:bCs/>
      <w:sz w:val="18"/>
      <w:szCs w:val="18"/>
      <w:u w:val="none"/>
      <w:shd w:val="clear" w:color="auto" w:fill="FFFFFF"/>
    </w:rPr>
  </w:style>
  <w:style w:type="paragraph" w:customStyle="1" w:styleId="font5">
    <w:name w:val="font5"/>
    <w:basedOn w:val="Normal"/>
    <w:rsid w:val="00B57AF6"/>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B57AF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74">
    <w:name w:val="xl74"/>
    <w:basedOn w:val="Normal"/>
    <w:rsid w:val="008F08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eastAsia="Times New Roman" w:cs="Times New Roman"/>
      <w:sz w:val="20"/>
      <w:szCs w:val="20"/>
      <w:lang w:eastAsia="es-CO"/>
    </w:rPr>
  </w:style>
  <w:style w:type="table" w:customStyle="1" w:styleId="Tablaconcuadrcula4">
    <w:name w:val="Tabla con cuadrícula4"/>
    <w:basedOn w:val="Tablanormal"/>
    <w:next w:val="Tablaconcuadrcula"/>
    <w:uiPriority w:val="59"/>
    <w:rsid w:val="007F3FC2"/>
    <w:pPr>
      <w:spacing w:after="0" w:line="240" w:lineRule="auto"/>
    </w:pPr>
    <w:rPr>
      <w:rFonts w:eastAsia="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5">
    <w:name w:val="Char Style 5"/>
    <w:basedOn w:val="Fuentedeprrafopredeter"/>
    <w:link w:val="Style4"/>
    <w:uiPriority w:val="99"/>
    <w:rsid w:val="00F713C9"/>
    <w:rPr>
      <w:rFonts w:ascii="Arial" w:hAnsi="Arial" w:cs="Arial"/>
      <w:i/>
      <w:iCs/>
      <w:sz w:val="17"/>
      <w:szCs w:val="17"/>
      <w:shd w:val="clear" w:color="auto" w:fill="FFFFFF"/>
    </w:rPr>
  </w:style>
  <w:style w:type="character" w:customStyle="1" w:styleId="CharStyle6">
    <w:name w:val="Char Style 6"/>
    <w:basedOn w:val="CharStyle5"/>
    <w:uiPriority w:val="99"/>
    <w:rsid w:val="00F713C9"/>
    <w:rPr>
      <w:rFonts w:ascii="Arial" w:hAnsi="Arial" w:cs="Arial"/>
      <w:i w:val="0"/>
      <w:iCs w:val="0"/>
      <w:spacing w:val="-30"/>
      <w:sz w:val="17"/>
      <w:szCs w:val="17"/>
      <w:shd w:val="clear" w:color="auto" w:fill="FFFFFF"/>
    </w:rPr>
  </w:style>
  <w:style w:type="paragraph" w:customStyle="1" w:styleId="Style4">
    <w:name w:val="Style 4"/>
    <w:basedOn w:val="Normal"/>
    <w:link w:val="CharStyle5"/>
    <w:uiPriority w:val="99"/>
    <w:rsid w:val="00F713C9"/>
    <w:pPr>
      <w:widowControl w:val="0"/>
      <w:shd w:val="clear" w:color="auto" w:fill="FFFFFF"/>
      <w:spacing w:after="0" w:line="216" w:lineRule="exact"/>
      <w:jc w:val="both"/>
    </w:pPr>
    <w:rPr>
      <w:rFonts w:ascii="Arial" w:hAnsi="Arial" w:cs="Arial"/>
      <w:i/>
      <w:iCs/>
      <w:sz w:val="17"/>
      <w:szCs w:val="17"/>
    </w:rPr>
  </w:style>
  <w:style w:type="character" w:customStyle="1" w:styleId="CharStyle17">
    <w:name w:val="Char Style 17"/>
    <w:basedOn w:val="Fuentedeprrafopredeter"/>
    <w:link w:val="Style16"/>
    <w:uiPriority w:val="99"/>
    <w:rsid w:val="006221F6"/>
    <w:rPr>
      <w:rFonts w:ascii="Arial" w:hAnsi="Arial" w:cs="Arial"/>
      <w:spacing w:val="10"/>
      <w:sz w:val="21"/>
      <w:szCs w:val="21"/>
      <w:shd w:val="clear" w:color="auto" w:fill="FFFFFF"/>
    </w:rPr>
  </w:style>
  <w:style w:type="character" w:customStyle="1" w:styleId="CharStyle27">
    <w:name w:val="Char Style 27"/>
    <w:basedOn w:val="Fuentedeprrafopredeter"/>
    <w:link w:val="Style26"/>
    <w:uiPriority w:val="99"/>
    <w:rsid w:val="006221F6"/>
    <w:rPr>
      <w:rFonts w:ascii="Arial" w:hAnsi="Arial" w:cs="Arial"/>
      <w:i/>
      <w:iCs/>
      <w:sz w:val="17"/>
      <w:szCs w:val="17"/>
      <w:shd w:val="clear" w:color="auto" w:fill="FFFFFF"/>
    </w:rPr>
  </w:style>
  <w:style w:type="character" w:customStyle="1" w:styleId="CharStyle63">
    <w:name w:val="Char Style 63"/>
    <w:basedOn w:val="CharStyle27"/>
    <w:uiPriority w:val="99"/>
    <w:rsid w:val="006221F6"/>
    <w:rPr>
      <w:rFonts w:ascii="Arial" w:hAnsi="Arial" w:cs="Arial"/>
      <w:i/>
      <w:iCs/>
      <w:sz w:val="17"/>
      <w:szCs w:val="17"/>
      <w:u w:val="single"/>
      <w:shd w:val="clear" w:color="auto" w:fill="FFFFFF"/>
    </w:rPr>
  </w:style>
  <w:style w:type="character" w:customStyle="1" w:styleId="CharStyle64">
    <w:name w:val="Char Style 64"/>
    <w:basedOn w:val="CharStyle27"/>
    <w:uiPriority w:val="99"/>
    <w:rsid w:val="006221F6"/>
    <w:rPr>
      <w:rFonts w:ascii="Arial" w:hAnsi="Arial" w:cs="Arial"/>
      <w:i w:val="0"/>
      <w:iCs w:val="0"/>
      <w:sz w:val="17"/>
      <w:szCs w:val="17"/>
      <w:shd w:val="clear" w:color="auto" w:fill="FFFFFF"/>
    </w:rPr>
  </w:style>
  <w:style w:type="character" w:customStyle="1" w:styleId="CharStyle129">
    <w:name w:val="Char Style 129"/>
    <w:basedOn w:val="CharStyle27"/>
    <w:uiPriority w:val="99"/>
    <w:rsid w:val="006221F6"/>
    <w:rPr>
      <w:rFonts w:ascii="Arial" w:hAnsi="Arial" w:cs="Arial"/>
      <w:i w:val="0"/>
      <w:iCs w:val="0"/>
      <w:sz w:val="17"/>
      <w:szCs w:val="17"/>
      <w:u w:val="single"/>
      <w:shd w:val="clear" w:color="auto" w:fill="FFFFFF"/>
    </w:rPr>
  </w:style>
  <w:style w:type="paragraph" w:customStyle="1" w:styleId="Style16">
    <w:name w:val="Style 16"/>
    <w:basedOn w:val="Normal"/>
    <w:link w:val="CharStyle17"/>
    <w:uiPriority w:val="99"/>
    <w:rsid w:val="006221F6"/>
    <w:pPr>
      <w:widowControl w:val="0"/>
      <w:shd w:val="clear" w:color="auto" w:fill="FFFFFF"/>
      <w:spacing w:before="300" w:after="240" w:line="266" w:lineRule="exact"/>
      <w:ind w:hanging="420"/>
      <w:jc w:val="both"/>
    </w:pPr>
    <w:rPr>
      <w:rFonts w:ascii="Arial" w:hAnsi="Arial" w:cs="Arial"/>
      <w:spacing w:val="10"/>
      <w:sz w:val="21"/>
      <w:szCs w:val="21"/>
    </w:rPr>
  </w:style>
  <w:style w:type="paragraph" w:customStyle="1" w:styleId="Style26">
    <w:name w:val="Style 26"/>
    <w:basedOn w:val="Normal"/>
    <w:link w:val="CharStyle27"/>
    <w:uiPriority w:val="99"/>
    <w:rsid w:val="006221F6"/>
    <w:pPr>
      <w:widowControl w:val="0"/>
      <w:shd w:val="clear" w:color="auto" w:fill="FFFFFF"/>
      <w:spacing w:before="180" w:after="180" w:line="216" w:lineRule="exact"/>
      <w:jc w:val="both"/>
    </w:pPr>
    <w:rPr>
      <w:rFonts w:ascii="Arial" w:hAnsi="Arial" w:cs="Arial"/>
      <w:i/>
      <w:iCs/>
      <w:sz w:val="17"/>
      <w:szCs w:val="17"/>
    </w:rPr>
  </w:style>
  <w:style w:type="table" w:styleId="Tablaconcuadrcula6concolores-nfasis1">
    <w:name w:val="Grid Table 6 Colorful Accent 1"/>
    <w:basedOn w:val="Tablanormal"/>
    <w:uiPriority w:val="51"/>
    <w:rsid w:val="00FF3FE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
    <w:name w:val="Grid Table 1 Light"/>
    <w:basedOn w:val="Tablanormal"/>
    <w:uiPriority w:val="46"/>
    <w:rsid w:val="001101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8Car">
    <w:name w:val="Título 8 Car"/>
    <w:basedOn w:val="Fuentedeprrafopredeter"/>
    <w:link w:val="Ttulo8"/>
    <w:uiPriority w:val="9"/>
    <w:rsid w:val="00E015AF"/>
    <w:rPr>
      <w:rFonts w:ascii="Arial" w:eastAsia="Times New Roman" w:hAnsi="Arial" w:cs="Arial"/>
      <w:b/>
      <w:szCs w:val="20"/>
      <w:lang w:eastAsia="es-ES"/>
    </w:rPr>
  </w:style>
  <w:style w:type="character" w:customStyle="1" w:styleId="Ttulo9Car">
    <w:name w:val="Título 9 Car"/>
    <w:basedOn w:val="Fuentedeprrafopredeter"/>
    <w:link w:val="Ttulo9"/>
    <w:rsid w:val="00E015AF"/>
    <w:rPr>
      <w:rFonts w:ascii="Arial" w:eastAsia="Times New Roman" w:hAnsi="Arial" w:cs="Times New Roman"/>
      <w:szCs w:val="20"/>
      <w:lang w:eastAsia="es-ES"/>
    </w:rPr>
  </w:style>
  <w:style w:type="character" w:customStyle="1" w:styleId="DescripcinCar">
    <w:name w:val="Descripción Car"/>
    <w:link w:val="Descripcin"/>
    <w:rsid w:val="00E015AF"/>
    <w:rPr>
      <w:rFonts w:ascii="Arial" w:eastAsia="Times New Roman" w:hAnsi="Arial" w:cs="Times New Roman"/>
      <w:sz w:val="20"/>
      <w:szCs w:val="20"/>
      <w:lang w:val="es-ES" w:eastAsia="es-ES"/>
    </w:rPr>
  </w:style>
  <w:style w:type="character" w:customStyle="1" w:styleId="ArtculoCar">
    <w:name w:val="Artículo Car"/>
    <w:rsid w:val="00E015AF"/>
    <w:rPr>
      <w:rFonts w:ascii="Bookman Old Style" w:hAnsi="Bookman Old Style" w:cs="Arial"/>
      <w:sz w:val="24"/>
      <w:szCs w:val="24"/>
      <w:lang w:val="en-US" w:eastAsia="es-ES"/>
    </w:rPr>
  </w:style>
  <w:style w:type="paragraph" w:styleId="Listaconvietas">
    <w:name w:val="List Bullet"/>
    <w:basedOn w:val="Normal"/>
    <w:autoRedefine/>
    <w:semiHidden/>
    <w:rsid w:val="00E015AF"/>
    <w:pPr>
      <w:tabs>
        <w:tab w:val="num" w:pos="360"/>
      </w:tabs>
      <w:spacing w:before="160" w:after="160"/>
      <w:ind w:left="360" w:hanging="360"/>
      <w:contextualSpacing w:val="0"/>
      <w:jc w:val="both"/>
    </w:pPr>
    <w:rPr>
      <w:rFonts w:ascii="CG Times" w:eastAsia="Times New Roman" w:hAnsi="CG Times" w:cs="Times New Roman"/>
      <w:sz w:val="22"/>
      <w:szCs w:val="20"/>
      <w:lang w:eastAsia="es-ES"/>
    </w:rPr>
  </w:style>
  <w:style w:type="paragraph" w:styleId="Listaconvietas2">
    <w:name w:val="List Bullet 2"/>
    <w:basedOn w:val="Normal"/>
    <w:autoRedefine/>
    <w:semiHidden/>
    <w:rsid w:val="00E015AF"/>
    <w:pPr>
      <w:tabs>
        <w:tab w:val="num" w:pos="643"/>
      </w:tabs>
      <w:spacing w:before="160" w:after="160"/>
      <w:ind w:left="643" w:hanging="360"/>
      <w:contextualSpacing w:val="0"/>
      <w:jc w:val="both"/>
    </w:pPr>
    <w:rPr>
      <w:rFonts w:ascii="CG Times" w:eastAsia="Times New Roman" w:hAnsi="CG Times" w:cs="Times New Roman"/>
      <w:sz w:val="22"/>
      <w:szCs w:val="20"/>
      <w:lang w:eastAsia="es-ES"/>
    </w:rPr>
  </w:style>
  <w:style w:type="paragraph" w:styleId="Listaconvietas4">
    <w:name w:val="List Bullet 4"/>
    <w:basedOn w:val="Normal"/>
    <w:autoRedefine/>
    <w:semiHidden/>
    <w:rsid w:val="00E015AF"/>
    <w:pPr>
      <w:tabs>
        <w:tab w:val="num" w:pos="1209"/>
      </w:tabs>
      <w:spacing w:before="160" w:after="160"/>
      <w:ind w:left="1209" w:hanging="360"/>
      <w:contextualSpacing w:val="0"/>
      <w:jc w:val="both"/>
    </w:pPr>
    <w:rPr>
      <w:rFonts w:ascii="CG Times" w:eastAsia="Times New Roman" w:hAnsi="CG Times" w:cs="Times New Roman"/>
      <w:sz w:val="22"/>
      <w:szCs w:val="20"/>
      <w:lang w:eastAsia="es-ES"/>
    </w:rPr>
  </w:style>
  <w:style w:type="paragraph" w:styleId="TDC4">
    <w:name w:val="toc 4"/>
    <w:basedOn w:val="Normal"/>
    <w:next w:val="Normal"/>
    <w:autoRedefine/>
    <w:uiPriority w:val="39"/>
    <w:rsid w:val="00E015AF"/>
    <w:pPr>
      <w:spacing w:after="0"/>
      <w:ind w:left="480"/>
      <w:contextualSpacing w:val="0"/>
      <w:jc w:val="both"/>
    </w:pPr>
    <w:rPr>
      <w:rFonts w:ascii="Calibri" w:eastAsia="Times New Roman" w:hAnsi="Calibri" w:cs="Times New Roman"/>
      <w:sz w:val="20"/>
      <w:szCs w:val="20"/>
      <w:lang w:eastAsia="es-ES"/>
    </w:rPr>
  </w:style>
  <w:style w:type="paragraph" w:styleId="TDC5">
    <w:name w:val="toc 5"/>
    <w:basedOn w:val="Normal"/>
    <w:next w:val="Normal"/>
    <w:autoRedefine/>
    <w:uiPriority w:val="39"/>
    <w:rsid w:val="00E015AF"/>
    <w:pPr>
      <w:spacing w:after="0"/>
      <w:ind w:left="720"/>
      <w:contextualSpacing w:val="0"/>
      <w:jc w:val="both"/>
    </w:pPr>
    <w:rPr>
      <w:rFonts w:ascii="Calibri" w:eastAsia="Times New Roman" w:hAnsi="Calibri" w:cs="Times New Roman"/>
      <w:sz w:val="20"/>
      <w:szCs w:val="20"/>
      <w:lang w:eastAsia="es-ES"/>
    </w:rPr>
  </w:style>
  <w:style w:type="paragraph" w:styleId="TDC6">
    <w:name w:val="toc 6"/>
    <w:basedOn w:val="Normal"/>
    <w:next w:val="Normal"/>
    <w:autoRedefine/>
    <w:uiPriority w:val="39"/>
    <w:rsid w:val="00E015AF"/>
    <w:pPr>
      <w:spacing w:after="0"/>
      <w:ind w:left="960"/>
      <w:contextualSpacing w:val="0"/>
      <w:jc w:val="both"/>
    </w:pPr>
    <w:rPr>
      <w:rFonts w:ascii="Calibri" w:eastAsia="Times New Roman" w:hAnsi="Calibri" w:cs="Times New Roman"/>
      <w:sz w:val="20"/>
      <w:szCs w:val="20"/>
      <w:lang w:eastAsia="es-ES"/>
    </w:rPr>
  </w:style>
  <w:style w:type="paragraph" w:styleId="TDC7">
    <w:name w:val="toc 7"/>
    <w:basedOn w:val="Normal"/>
    <w:next w:val="Normal"/>
    <w:autoRedefine/>
    <w:uiPriority w:val="39"/>
    <w:rsid w:val="00E015AF"/>
    <w:pPr>
      <w:tabs>
        <w:tab w:val="right" w:pos="9111"/>
      </w:tabs>
      <w:spacing w:before="240" w:after="0"/>
      <w:contextualSpacing w:val="0"/>
      <w:jc w:val="both"/>
    </w:pPr>
    <w:rPr>
      <w:rFonts w:ascii="Arial" w:eastAsia="Times New Roman" w:hAnsi="Arial" w:cs="Times New Roman"/>
      <w:b/>
      <w:sz w:val="22"/>
      <w:szCs w:val="20"/>
      <w:lang w:eastAsia="es-ES"/>
    </w:rPr>
  </w:style>
  <w:style w:type="paragraph" w:styleId="TDC8">
    <w:name w:val="toc 8"/>
    <w:basedOn w:val="Normal"/>
    <w:next w:val="Normal"/>
    <w:autoRedefine/>
    <w:uiPriority w:val="39"/>
    <w:rsid w:val="00E015AF"/>
    <w:pPr>
      <w:tabs>
        <w:tab w:val="right" w:leader="dot" w:pos="9111"/>
      </w:tabs>
      <w:spacing w:after="0"/>
      <w:contextualSpacing w:val="0"/>
      <w:jc w:val="both"/>
    </w:pPr>
    <w:rPr>
      <w:rFonts w:ascii="Arial" w:eastAsia="Times New Roman" w:hAnsi="Arial" w:cs="Times New Roman"/>
      <w:b/>
      <w:sz w:val="22"/>
      <w:szCs w:val="20"/>
      <w:lang w:eastAsia="es-ES"/>
    </w:rPr>
  </w:style>
  <w:style w:type="paragraph" w:styleId="TDC9">
    <w:name w:val="toc 9"/>
    <w:basedOn w:val="Normal"/>
    <w:next w:val="Normal"/>
    <w:autoRedefine/>
    <w:uiPriority w:val="39"/>
    <w:rsid w:val="00E015AF"/>
    <w:pPr>
      <w:spacing w:after="0"/>
      <w:ind w:left="1680"/>
      <w:contextualSpacing w:val="0"/>
      <w:jc w:val="both"/>
    </w:pPr>
    <w:rPr>
      <w:rFonts w:ascii="Calibri" w:eastAsia="Times New Roman" w:hAnsi="Calibri" w:cs="Times New Roman"/>
      <w:sz w:val="20"/>
      <w:szCs w:val="20"/>
      <w:lang w:eastAsia="es-ES"/>
    </w:rPr>
  </w:style>
  <w:style w:type="paragraph" w:customStyle="1" w:styleId="Textodenotaalfinal">
    <w:name w:val="Texto de nota al final"/>
    <w:basedOn w:val="Normal"/>
    <w:rsid w:val="00E015AF"/>
    <w:pPr>
      <w:widowControl w:val="0"/>
      <w:spacing w:before="160" w:after="160"/>
      <w:contextualSpacing w:val="0"/>
      <w:jc w:val="both"/>
    </w:pPr>
    <w:rPr>
      <w:rFonts w:ascii="Courier New" w:eastAsia="Times New Roman" w:hAnsi="Courier New" w:cs="Times New Roman"/>
      <w:sz w:val="22"/>
      <w:szCs w:val="20"/>
      <w:lang w:val="es-ES_tradnl" w:eastAsia="es-ES"/>
    </w:rPr>
  </w:style>
  <w:style w:type="paragraph" w:styleId="Cita">
    <w:name w:val="Quote"/>
    <w:basedOn w:val="Normal"/>
    <w:next w:val="Normal"/>
    <w:link w:val="CitaCar"/>
    <w:uiPriority w:val="29"/>
    <w:qFormat/>
    <w:rsid w:val="00675E77"/>
    <w:pPr>
      <w:spacing w:after="120"/>
      <w:ind w:left="284" w:right="567"/>
      <w:contextualSpacing w:val="0"/>
      <w:mirrorIndents/>
      <w:jc w:val="both"/>
    </w:pPr>
    <w:rPr>
      <w:rFonts w:eastAsia="Calibri" w:cs="Arial"/>
      <w:i/>
      <w:iCs/>
      <w:color w:val="000000"/>
      <w:sz w:val="18"/>
    </w:rPr>
  </w:style>
  <w:style w:type="character" w:customStyle="1" w:styleId="CitaCar">
    <w:name w:val="Cita Car"/>
    <w:basedOn w:val="Fuentedeprrafopredeter"/>
    <w:link w:val="Cita"/>
    <w:uiPriority w:val="29"/>
    <w:rsid w:val="00675E77"/>
    <w:rPr>
      <w:rFonts w:ascii="Bookman Old Style" w:eastAsia="Calibri" w:hAnsi="Bookman Old Style" w:cs="Arial"/>
      <w:i/>
      <w:iCs/>
      <w:color w:val="000000"/>
      <w:sz w:val="18"/>
    </w:rPr>
  </w:style>
  <w:style w:type="character" w:styleId="Textoennegrita">
    <w:name w:val="Strong"/>
    <w:uiPriority w:val="22"/>
    <w:qFormat/>
    <w:rsid w:val="00E015AF"/>
    <w:rPr>
      <w:b/>
      <w:bCs/>
    </w:rPr>
  </w:style>
  <w:style w:type="paragraph" w:styleId="Mapadeldocumento">
    <w:name w:val="Document Map"/>
    <w:basedOn w:val="Normal"/>
    <w:link w:val="MapadeldocumentoCar"/>
    <w:uiPriority w:val="99"/>
    <w:unhideWhenUsed/>
    <w:rsid w:val="00E015AF"/>
    <w:pPr>
      <w:spacing w:before="160" w:after="160"/>
      <w:contextualSpacing w:val="0"/>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E015AF"/>
    <w:rPr>
      <w:rFonts w:ascii="Tahoma" w:eastAsia="Times New Roman" w:hAnsi="Tahoma" w:cs="Tahoma"/>
      <w:sz w:val="16"/>
      <w:szCs w:val="16"/>
      <w:lang w:eastAsia="es-ES"/>
    </w:rPr>
  </w:style>
  <w:style w:type="paragraph" w:customStyle="1" w:styleId="Anexo">
    <w:name w:val="Anexo"/>
    <w:basedOn w:val="Normal"/>
    <w:link w:val="AnexoCar"/>
    <w:qFormat/>
    <w:rsid w:val="00E015AF"/>
    <w:pPr>
      <w:suppressAutoHyphens/>
      <w:spacing w:after="0"/>
      <w:ind w:left="1429" w:hanging="360"/>
      <w:contextualSpacing w:val="0"/>
      <w:jc w:val="both"/>
    </w:pPr>
    <w:rPr>
      <w:rFonts w:eastAsia="Times New Roman" w:cs="Arial"/>
      <w:b/>
      <w:bCs/>
      <w:spacing w:val="-4"/>
      <w:szCs w:val="24"/>
      <w:lang w:val="es-ES" w:eastAsia="es-ES"/>
    </w:rPr>
  </w:style>
  <w:style w:type="character" w:customStyle="1" w:styleId="AnexoCar">
    <w:name w:val="Anexo Car"/>
    <w:link w:val="Anexo"/>
    <w:rsid w:val="00E015AF"/>
    <w:rPr>
      <w:rFonts w:ascii="Bookman Old Style" w:eastAsia="Times New Roman" w:hAnsi="Bookman Old Style" w:cs="Arial"/>
      <w:b/>
      <w:bCs/>
      <w:spacing w:val="-4"/>
      <w:sz w:val="24"/>
      <w:szCs w:val="24"/>
      <w:lang w:val="es-ES" w:eastAsia="es-ES"/>
    </w:rPr>
  </w:style>
  <w:style w:type="paragraph" w:customStyle="1" w:styleId="PliegoTitulo1">
    <w:name w:val="Pliego_Titulo1"/>
    <w:basedOn w:val="Pliego-Normal"/>
    <w:next w:val="Pliego-Normal"/>
    <w:rsid w:val="00E015AF"/>
    <w:pPr>
      <w:tabs>
        <w:tab w:val="num" w:pos="432"/>
      </w:tabs>
      <w:ind w:left="432" w:hanging="432"/>
      <w:jc w:val="center"/>
    </w:pPr>
    <w:rPr>
      <w:b/>
    </w:rPr>
  </w:style>
  <w:style w:type="paragraph" w:customStyle="1" w:styleId="Pliego-Normal">
    <w:name w:val="Pliego-Normal"/>
    <w:basedOn w:val="Normal"/>
    <w:rsid w:val="00E015AF"/>
    <w:pPr>
      <w:widowControl w:val="0"/>
      <w:adjustRightInd w:val="0"/>
      <w:spacing w:after="0"/>
      <w:contextualSpacing w:val="0"/>
      <w:jc w:val="both"/>
      <w:textAlignment w:val="baseline"/>
    </w:pPr>
    <w:rPr>
      <w:rFonts w:ascii="Garamond" w:eastAsia="Times New Roman" w:hAnsi="Garamond" w:cs="Times New Roman"/>
      <w:bCs/>
      <w:sz w:val="22"/>
      <w:szCs w:val="20"/>
      <w:lang w:val="es-ES_tradnl" w:eastAsia="es-ES"/>
    </w:rPr>
  </w:style>
  <w:style w:type="paragraph" w:styleId="ndice1">
    <w:name w:val="index 1"/>
    <w:basedOn w:val="Normal"/>
    <w:next w:val="Normal"/>
    <w:autoRedefine/>
    <w:semiHidden/>
    <w:rsid w:val="00E015AF"/>
    <w:pPr>
      <w:widowControl w:val="0"/>
      <w:adjustRightInd w:val="0"/>
      <w:spacing w:after="0"/>
      <w:contextualSpacing w:val="0"/>
      <w:jc w:val="both"/>
      <w:textAlignment w:val="baseline"/>
    </w:pPr>
    <w:rPr>
      <w:rFonts w:ascii="Arial" w:eastAsia="Times New Roman" w:hAnsi="Arial" w:cs="Times New Roman"/>
      <w:szCs w:val="20"/>
      <w:lang w:eastAsia="es-ES"/>
    </w:rPr>
  </w:style>
  <w:style w:type="paragraph" w:styleId="z-Finaldelformulario">
    <w:name w:val="HTML Bottom of Form"/>
    <w:basedOn w:val="Normal"/>
    <w:next w:val="Normal"/>
    <w:link w:val="z-FinaldelformularioCar"/>
    <w:hidden/>
    <w:rsid w:val="00E015AF"/>
    <w:pPr>
      <w:widowControl w:val="0"/>
      <w:pBdr>
        <w:top w:val="single" w:sz="6" w:space="1" w:color="auto"/>
      </w:pBdr>
      <w:adjustRightInd w:val="0"/>
      <w:spacing w:after="0"/>
      <w:contextualSpacing w:val="0"/>
      <w:jc w:val="center"/>
      <w:textAlignment w:val="baseline"/>
    </w:pPr>
    <w:rPr>
      <w:rFonts w:ascii="Arial" w:eastAsia="Times New Roman" w:hAnsi="Arial" w:cs="Arial"/>
      <w:vanish/>
      <w:color w:val="000000"/>
      <w:sz w:val="16"/>
      <w:szCs w:val="16"/>
      <w:lang w:val="es-ES" w:eastAsia="es-ES"/>
    </w:rPr>
  </w:style>
  <w:style w:type="character" w:customStyle="1" w:styleId="z-FinaldelformularioCar">
    <w:name w:val="z-Final del formulario Car"/>
    <w:basedOn w:val="Fuentedeprrafopredeter"/>
    <w:link w:val="z-Finaldelformulario"/>
    <w:rsid w:val="00E015AF"/>
    <w:rPr>
      <w:rFonts w:ascii="Arial" w:eastAsia="Times New Roman" w:hAnsi="Arial" w:cs="Arial"/>
      <w:vanish/>
      <w:color w:val="000000"/>
      <w:sz w:val="16"/>
      <w:szCs w:val="16"/>
      <w:lang w:val="es-ES" w:eastAsia="es-ES"/>
    </w:rPr>
  </w:style>
  <w:style w:type="paragraph" w:customStyle="1" w:styleId="NormalTesis">
    <w:name w:val="Normal Tesis"/>
    <w:basedOn w:val="Textoindependiente"/>
    <w:rsid w:val="00E015AF"/>
    <w:pPr>
      <w:widowControl w:val="0"/>
      <w:adjustRightInd w:val="0"/>
      <w:spacing w:line="360" w:lineRule="auto"/>
      <w:ind w:left="0"/>
      <w:contextualSpacing w:val="0"/>
      <w:jc w:val="both"/>
      <w:textAlignment w:val="baseline"/>
    </w:pPr>
    <w:rPr>
      <w:b w:val="0"/>
      <w:bCs w:val="0"/>
      <w:sz w:val="22"/>
    </w:rPr>
  </w:style>
  <w:style w:type="paragraph" w:customStyle="1" w:styleId="Citas">
    <w:name w:val="Citas"/>
    <w:basedOn w:val="Normal"/>
    <w:rsid w:val="00E015AF"/>
    <w:pPr>
      <w:spacing w:after="0"/>
      <w:ind w:left="708" w:right="618"/>
      <w:contextualSpacing w:val="0"/>
      <w:jc w:val="both"/>
    </w:pPr>
    <w:rPr>
      <w:rFonts w:eastAsia="Times New Roman" w:cs="Arial"/>
      <w:i/>
      <w:iCs/>
      <w:szCs w:val="20"/>
      <w:lang w:val="es-ES" w:eastAsia="es-ES"/>
    </w:rPr>
  </w:style>
  <w:style w:type="paragraph" w:customStyle="1" w:styleId="articulo">
    <w:name w:val="articulo"/>
    <w:basedOn w:val="Normal"/>
    <w:next w:val="Normal"/>
    <w:autoRedefine/>
    <w:rsid w:val="00E015AF"/>
    <w:pPr>
      <w:tabs>
        <w:tab w:val="left" w:pos="-720"/>
        <w:tab w:val="num" w:pos="1440"/>
        <w:tab w:val="left" w:pos="1620"/>
      </w:tabs>
      <w:suppressAutoHyphens/>
      <w:spacing w:before="240" w:after="0"/>
      <w:contextualSpacing w:val="0"/>
      <w:jc w:val="both"/>
    </w:pPr>
    <w:rPr>
      <w:rFonts w:eastAsia="Times New Roman" w:cs="Arial"/>
      <w:bCs/>
      <w:spacing w:val="-4"/>
      <w:szCs w:val="24"/>
      <w:lang w:val="es-ES" w:eastAsia="es-ES"/>
    </w:rPr>
  </w:style>
  <w:style w:type="paragraph" w:customStyle="1" w:styleId="EstiloPrrafodelistaJustificado">
    <w:name w:val="Estilo Párrafo de lista + Justificado"/>
    <w:basedOn w:val="Prrafodelista"/>
    <w:rsid w:val="00E015AF"/>
    <w:pPr>
      <w:spacing w:before="120" w:after="0"/>
      <w:ind w:hanging="360"/>
      <w:contextualSpacing w:val="0"/>
      <w:jc w:val="both"/>
    </w:pPr>
    <w:rPr>
      <w:rFonts w:eastAsia="Times New Roman" w:cs="Times New Roman"/>
      <w:spacing w:val="4"/>
      <w:szCs w:val="20"/>
      <w:lang w:val="es-ES" w:eastAsia="es-ES"/>
    </w:rPr>
  </w:style>
  <w:style w:type="paragraph" w:customStyle="1" w:styleId="Vietas">
    <w:name w:val="Viñetas"/>
    <w:basedOn w:val="Prrafodelista"/>
    <w:rsid w:val="00E015AF"/>
    <w:pPr>
      <w:spacing w:before="120" w:after="0"/>
      <w:ind w:hanging="360"/>
      <w:contextualSpacing w:val="0"/>
      <w:jc w:val="both"/>
    </w:pPr>
    <w:rPr>
      <w:rFonts w:eastAsia="Times New Roman" w:cs="Times New Roman"/>
      <w:spacing w:val="4"/>
      <w:szCs w:val="20"/>
      <w:lang w:val="es-ES" w:eastAsia="es-ES"/>
    </w:rPr>
  </w:style>
  <w:style w:type="paragraph" w:customStyle="1" w:styleId="Listaletras">
    <w:name w:val="Lista letras"/>
    <w:basedOn w:val="Sangra2detindependiente"/>
    <w:link w:val="ListaletrasCar"/>
    <w:qFormat/>
    <w:rsid w:val="00E015AF"/>
    <w:pPr>
      <w:spacing w:before="160" w:after="160" w:line="240" w:lineRule="auto"/>
      <w:ind w:left="0" w:hanging="567"/>
      <w:contextualSpacing w:val="0"/>
      <w:jc w:val="both"/>
      <w:outlineLvl w:val="0"/>
    </w:pPr>
    <w:rPr>
      <w:rFonts w:ascii="Bookman Old Style" w:hAnsi="Bookman Old Style"/>
      <w:b/>
      <w:sz w:val="22"/>
      <w:szCs w:val="20"/>
      <w:lang w:val="es-CO"/>
    </w:rPr>
  </w:style>
  <w:style w:type="character" w:customStyle="1" w:styleId="ListaletrasCar">
    <w:name w:val="Lista letras Car"/>
    <w:link w:val="Listaletras"/>
    <w:rsid w:val="00E015AF"/>
    <w:rPr>
      <w:rFonts w:ascii="Bookman Old Style" w:eastAsia="Times New Roman" w:hAnsi="Bookman Old Style" w:cs="Times New Roman"/>
      <w:b/>
      <w:szCs w:val="20"/>
      <w:lang w:eastAsia="es-ES"/>
    </w:rPr>
  </w:style>
  <w:style w:type="paragraph" w:customStyle="1" w:styleId="Textoindependiente31">
    <w:name w:val="Texto independiente 31"/>
    <w:basedOn w:val="Normal"/>
    <w:rsid w:val="00E015AF"/>
    <w:pPr>
      <w:tabs>
        <w:tab w:val="left" w:pos="-720"/>
      </w:tabs>
      <w:suppressAutoHyphens/>
      <w:overflowPunct w:val="0"/>
      <w:autoSpaceDE w:val="0"/>
      <w:autoSpaceDN w:val="0"/>
      <w:adjustRightInd w:val="0"/>
      <w:spacing w:after="240"/>
      <w:ind w:right="45"/>
      <w:contextualSpacing w:val="0"/>
      <w:jc w:val="both"/>
      <w:textAlignment w:val="baseline"/>
    </w:pPr>
    <w:rPr>
      <w:rFonts w:eastAsia="Times New Roman" w:cs="Times New Roman"/>
      <w:sz w:val="22"/>
      <w:szCs w:val="20"/>
      <w:lang w:val="es-ES" w:eastAsia="es-ES"/>
    </w:rPr>
  </w:style>
  <w:style w:type="paragraph" w:customStyle="1" w:styleId="Estilo2">
    <w:name w:val="Estilo2"/>
    <w:basedOn w:val="Ttulo1"/>
    <w:rsid w:val="00E015AF"/>
    <w:pPr>
      <w:adjustRightInd w:val="0"/>
      <w:spacing w:before="240" w:after="240"/>
      <w:ind w:left="0"/>
      <w:contextualSpacing w:val="0"/>
      <w:jc w:val="both"/>
      <w:textAlignment w:val="baseline"/>
    </w:pPr>
    <w:rPr>
      <w:rFonts w:ascii="Bookman Old Style" w:hAnsi="Bookman Old Style"/>
      <w:bCs/>
      <w:caps/>
      <w:spacing w:val="4"/>
      <w:szCs w:val="24"/>
      <w:lang w:val="es-ES"/>
    </w:rPr>
  </w:style>
  <w:style w:type="paragraph" w:styleId="Continuarlista">
    <w:name w:val="List Continue"/>
    <w:basedOn w:val="Normal"/>
    <w:rsid w:val="00E015AF"/>
    <w:pPr>
      <w:widowControl w:val="0"/>
      <w:adjustRightInd w:val="0"/>
      <w:spacing w:after="120"/>
      <w:ind w:left="283"/>
      <w:jc w:val="both"/>
      <w:textAlignment w:val="baseline"/>
    </w:pPr>
    <w:rPr>
      <w:rFonts w:eastAsia="Times New Roman" w:cs="Times New Roman"/>
      <w:szCs w:val="24"/>
      <w:lang w:val="es-ES" w:eastAsia="es-ES"/>
    </w:rPr>
  </w:style>
  <w:style w:type="character" w:customStyle="1" w:styleId="Fuentedeprrafopredeter1">
    <w:name w:val="Fuente de párrafo predeter.1"/>
    <w:rsid w:val="00E015AF"/>
  </w:style>
  <w:style w:type="character" w:customStyle="1" w:styleId="FootnoteCharacters">
    <w:name w:val="Footnote Characters"/>
    <w:rsid w:val="00E015AF"/>
    <w:rPr>
      <w:vertAlign w:val="superscript"/>
    </w:rPr>
  </w:style>
  <w:style w:type="character" w:customStyle="1" w:styleId="Refdenotaalpie1">
    <w:name w:val="Ref. de nota al pie1"/>
    <w:rsid w:val="00E015AF"/>
    <w:rPr>
      <w:vertAlign w:val="superscript"/>
    </w:rPr>
  </w:style>
  <w:style w:type="character" w:customStyle="1" w:styleId="Refdecomentario1">
    <w:name w:val="Ref. de comentario1"/>
    <w:rsid w:val="00E015AF"/>
    <w:rPr>
      <w:sz w:val="16"/>
    </w:rPr>
  </w:style>
  <w:style w:type="paragraph" w:customStyle="1" w:styleId="Heading">
    <w:name w:val="Heading"/>
    <w:basedOn w:val="Normal"/>
    <w:next w:val="Textoindependiente"/>
    <w:rsid w:val="00E015AF"/>
    <w:pPr>
      <w:keepNext/>
      <w:suppressAutoHyphens/>
      <w:spacing w:before="240" w:after="120"/>
      <w:contextualSpacing w:val="0"/>
      <w:jc w:val="both"/>
    </w:pPr>
    <w:rPr>
      <w:rFonts w:ascii="Arial" w:eastAsia="DejaVu Sans" w:hAnsi="Arial" w:cs="DejaVu Sans"/>
      <w:sz w:val="28"/>
      <w:szCs w:val="28"/>
      <w:lang w:eastAsia="ar-SA"/>
    </w:rPr>
  </w:style>
  <w:style w:type="paragraph" w:styleId="Lista">
    <w:name w:val="List"/>
    <w:basedOn w:val="Normal"/>
    <w:rsid w:val="00E015AF"/>
    <w:pPr>
      <w:suppressAutoHyphens/>
      <w:spacing w:after="0"/>
      <w:ind w:left="283" w:hanging="283"/>
      <w:contextualSpacing w:val="0"/>
      <w:jc w:val="both"/>
    </w:pPr>
    <w:rPr>
      <w:rFonts w:eastAsia="Times New Roman" w:cs="Times New Roman"/>
      <w:sz w:val="22"/>
      <w:szCs w:val="20"/>
      <w:lang w:eastAsia="ar-SA"/>
    </w:rPr>
  </w:style>
  <w:style w:type="paragraph" w:customStyle="1" w:styleId="Index">
    <w:name w:val="Index"/>
    <w:basedOn w:val="Normal"/>
    <w:rsid w:val="00E015AF"/>
    <w:pPr>
      <w:suppressLineNumbers/>
      <w:suppressAutoHyphens/>
      <w:spacing w:after="0"/>
      <w:contextualSpacing w:val="0"/>
      <w:jc w:val="both"/>
    </w:pPr>
    <w:rPr>
      <w:rFonts w:eastAsia="Times New Roman" w:cs="Times New Roman"/>
      <w:sz w:val="22"/>
      <w:szCs w:val="20"/>
      <w:lang w:eastAsia="ar-SA"/>
    </w:rPr>
  </w:style>
  <w:style w:type="paragraph" w:styleId="Ttulodendice">
    <w:name w:val="index heading"/>
    <w:basedOn w:val="Normal"/>
    <w:next w:val="ndice1"/>
    <w:rsid w:val="00E015AF"/>
    <w:pPr>
      <w:suppressAutoHyphens/>
      <w:spacing w:before="120" w:after="120"/>
      <w:contextualSpacing w:val="0"/>
      <w:jc w:val="both"/>
    </w:pPr>
    <w:rPr>
      <w:rFonts w:ascii="Times New Roman" w:eastAsia="Times New Roman" w:hAnsi="Times New Roman" w:cs="Times New Roman"/>
      <w:b/>
      <w:i/>
      <w:sz w:val="20"/>
      <w:szCs w:val="20"/>
      <w:lang w:eastAsia="ar-SA"/>
    </w:rPr>
  </w:style>
  <w:style w:type="paragraph" w:styleId="ndice2">
    <w:name w:val="index 2"/>
    <w:basedOn w:val="Normal"/>
    <w:next w:val="Normal"/>
    <w:rsid w:val="00E015AF"/>
    <w:pPr>
      <w:suppressAutoHyphens/>
      <w:spacing w:after="0"/>
      <w:ind w:left="480" w:hanging="240"/>
      <w:contextualSpacing w:val="0"/>
      <w:jc w:val="both"/>
    </w:pPr>
    <w:rPr>
      <w:rFonts w:ascii="Times New Roman" w:eastAsia="Times New Roman" w:hAnsi="Times New Roman" w:cs="Times New Roman"/>
      <w:sz w:val="20"/>
      <w:szCs w:val="20"/>
      <w:lang w:eastAsia="ar-SA"/>
    </w:rPr>
  </w:style>
  <w:style w:type="paragraph" w:styleId="ndice3">
    <w:name w:val="index 3"/>
    <w:basedOn w:val="Normal"/>
    <w:next w:val="Normal"/>
    <w:rsid w:val="00E015AF"/>
    <w:pPr>
      <w:suppressAutoHyphens/>
      <w:spacing w:after="0"/>
      <w:ind w:left="720" w:hanging="240"/>
      <w:contextualSpacing w:val="0"/>
      <w:jc w:val="both"/>
    </w:pPr>
    <w:rPr>
      <w:rFonts w:ascii="Times New Roman" w:eastAsia="Times New Roman" w:hAnsi="Times New Roman" w:cs="Times New Roman"/>
      <w:sz w:val="20"/>
      <w:szCs w:val="20"/>
      <w:lang w:eastAsia="ar-SA"/>
    </w:rPr>
  </w:style>
  <w:style w:type="paragraph" w:customStyle="1" w:styleId="Figuras">
    <w:name w:val="Figuras"/>
    <w:basedOn w:val="Textoindependiente"/>
    <w:rsid w:val="00E015AF"/>
    <w:pPr>
      <w:suppressAutoHyphens/>
      <w:ind w:left="0"/>
      <w:contextualSpacing w:val="0"/>
    </w:pPr>
    <w:rPr>
      <w:rFonts w:cs="Times New Roman"/>
      <w:b w:val="0"/>
      <w:bCs w:val="0"/>
      <w:i/>
      <w:iCs/>
      <w:sz w:val="22"/>
      <w:szCs w:val="20"/>
      <w:lang w:val="es-CO" w:eastAsia="ar-SA"/>
    </w:rPr>
  </w:style>
  <w:style w:type="paragraph" w:customStyle="1" w:styleId="Text">
    <w:name w:val="Text"/>
    <w:basedOn w:val="Normal"/>
    <w:rsid w:val="00E015AF"/>
    <w:pPr>
      <w:suppressLineNumbers/>
      <w:suppressAutoHyphens/>
      <w:spacing w:before="120" w:after="120"/>
      <w:contextualSpacing w:val="0"/>
      <w:jc w:val="both"/>
    </w:pPr>
    <w:rPr>
      <w:rFonts w:eastAsia="Times New Roman" w:cs="Times New Roman"/>
      <w:i/>
      <w:iCs/>
      <w:szCs w:val="24"/>
      <w:lang w:eastAsia="ar-SA"/>
    </w:rPr>
  </w:style>
  <w:style w:type="paragraph" w:styleId="Textoindependienteprimerasangra">
    <w:name w:val="Body Text First Indent"/>
    <w:basedOn w:val="Textoindependiente"/>
    <w:link w:val="TextoindependienteprimerasangraCar"/>
    <w:rsid w:val="00E015AF"/>
    <w:pPr>
      <w:suppressAutoHyphens/>
      <w:ind w:left="0" w:firstLine="283"/>
      <w:contextualSpacing w:val="0"/>
    </w:pPr>
    <w:rPr>
      <w:rFonts w:ascii="Times New Roman" w:hAnsi="Times New Roman" w:cs="Times New Roman"/>
      <w:bCs w:val="0"/>
      <w:i/>
      <w:sz w:val="28"/>
      <w:szCs w:val="20"/>
      <w:lang w:val="es-CO" w:eastAsia="ar-SA"/>
    </w:rPr>
  </w:style>
  <w:style w:type="character" w:customStyle="1" w:styleId="TextoindependienteprimerasangraCar">
    <w:name w:val="Texto independiente primera sangría Car"/>
    <w:basedOn w:val="TextoindependienteCar"/>
    <w:link w:val="Textoindependienteprimerasangra"/>
    <w:rsid w:val="00E015AF"/>
    <w:rPr>
      <w:rFonts w:ascii="Times New Roman" w:eastAsia="Times New Roman" w:hAnsi="Times New Roman" w:cs="Times New Roman"/>
      <w:b/>
      <w:bCs w:val="0"/>
      <w:i/>
      <w:sz w:val="28"/>
      <w:szCs w:val="20"/>
      <w:lang w:val="es-ES" w:eastAsia="ar-SA"/>
    </w:rPr>
  </w:style>
  <w:style w:type="paragraph" w:customStyle="1" w:styleId="Notes">
    <w:name w:val="Notes"/>
    <w:rsid w:val="00E015A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jc w:val="both"/>
    </w:pPr>
    <w:rPr>
      <w:rFonts w:ascii="DejaVu Sans" w:eastAsia="DejaVu Sans" w:hAnsi="DejaVu Sans" w:cs="Times New Roman"/>
      <w:color w:val="000000"/>
      <w:sz w:val="24"/>
      <w:szCs w:val="24"/>
      <w:lang w:eastAsia="es-ES"/>
    </w:rPr>
  </w:style>
  <w:style w:type="paragraph" w:customStyle="1" w:styleId="Tabla">
    <w:name w:val="Tabla"/>
    <w:basedOn w:val="Descripcin"/>
    <w:link w:val="TablaCar"/>
    <w:qFormat/>
    <w:rsid w:val="00E015AF"/>
    <w:pPr>
      <w:keepNext/>
      <w:widowControl/>
      <w:suppressAutoHyphens/>
      <w:adjustRightInd/>
      <w:spacing w:after="200" w:line="240" w:lineRule="auto"/>
      <w:contextualSpacing w:val="0"/>
      <w:textAlignment w:val="auto"/>
    </w:pPr>
    <w:rPr>
      <w:rFonts w:ascii="Bookman Old Style" w:hAnsi="Bookman Old Style"/>
      <w:b/>
      <w:bCs/>
      <w:iCs/>
    </w:rPr>
  </w:style>
  <w:style w:type="character" w:customStyle="1" w:styleId="TablaCar">
    <w:name w:val="Tabla Car"/>
    <w:link w:val="Tabla"/>
    <w:rsid w:val="00E015AF"/>
    <w:rPr>
      <w:rFonts w:ascii="Bookman Old Style" w:eastAsia="Times New Roman" w:hAnsi="Bookman Old Style" w:cs="Times New Roman"/>
      <w:b/>
      <w:bCs/>
      <w:iCs/>
      <w:sz w:val="20"/>
      <w:szCs w:val="20"/>
      <w:lang w:val="es-ES" w:eastAsia="es-ES"/>
    </w:rPr>
  </w:style>
  <w:style w:type="paragraph" w:customStyle="1" w:styleId="DatosDocumento">
    <w:name w:val="Datos Documento"/>
    <w:basedOn w:val="Normal"/>
    <w:rsid w:val="00E015AF"/>
    <w:pPr>
      <w:spacing w:after="0"/>
      <w:contextualSpacing w:val="0"/>
      <w:jc w:val="right"/>
    </w:pPr>
    <w:rPr>
      <w:rFonts w:ascii="Arial" w:eastAsia="Times New Roman" w:hAnsi="Arial" w:cs="Arial"/>
      <w:szCs w:val="20"/>
      <w:lang w:val="es-ES" w:eastAsia="es-ES"/>
    </w:rPr>
  </w:style>
  <w:style w:type="paragraph" w:customStyle="1" w:styleId="TituloDocumento">
    <w:name w:val="Titulo Documento"/>
    <w:basedOn w:val="Normal"/>
    <w:rsid w:val="00E015AF"/>
    <w:pPr>
      <w:spacing w:after="0"/>
      <w:contextualSpacing w:val="0"/>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E015AF"/>
    <w:pPr>
      <w:spacing w:after="0"/>
      <w:contextualSpacing w:val="0"/>
      <w:jc w:val="right"/>
    </w:pPr>
    <w:rPr>
      <w:rFonts w:ascii="Arial Black" w:eastAsia="Times New Roman" w:hAnsi="Arial Black" w:cs="Arial"/>
      <w:sz w:val="32"/>
      <w:szCs w:val="20"/>
      <w:lang w:val="es-ES" w:eastAsia="es-ES"/>
    </w:rPr>
  </w:style>
  <w:style w:type="paragraph" w:customStyle="1" w:styleId="TtuloInforme">
    <w:name w:val="Título Informe"/>
    <w:basedOn w:val="Normal"/>
    <w:next w:val="Normal"/>
    <w:rsid w:val="00E015AF"/>
    <w:pPr>
      <w:spacing w:before="120" w:after="120"/>
      <w:contextualSpacing w:val="0"/>
      <w:jc w:val="center"/>
    </w:pPr>
    <w:rPr>
      <w:rFonts w:ascii="Arial" w:eastAsia="Times New Roman" w:hAnsi="Arial" w:cs="Arial"/>
      <w:color w:val="FF6309"/>
      <w:sz w:val="28"/>
      <w:szCs w:val="28"/>
      <w:lang w:val="es-ES" w:eastAsia="es-ES"/>
    </w:rPr>
  </w:style>
  <w:style w:type="character" w:customStyle="1" w:styleId="TtuloInformeChar">
    <w:name w:val="Título Informe Char"/>
    <w:rsid w:val="00E015AF"/>
    <w:rPr>
      <w:rFonts w:ascii="Arial" w:hAnsi="Arial" w:cs="Arial"/>
      <w:noProof w:val="0"/>
      <w:color w:val="FF6309"/>
      <w:sz w:val="28"/>
      <w:szCs w:val="28"/>
      <w:lang w:val="es-ES" w:eastAsia="es-ES" w:bidi="ar-SA"/>
    </w:rPr>
  </w:style>
  <w:style w:type="paragraph" w:customStyle="1" w:styleId="SubtuloInforme">
    <w:name w:val="Subítulo Informe"/>
    <w:basedOn w:val="Normal"/>
    <w:next w:val="Normal"/>
    <w:rsid w:val="00E015AF"/>
    <w:pPr>
      <w:spacing w:before="120" w:after="120"/>
      <w:contextualSpacing w:val="0"/>
      <w:jc w:val="both"/>
    </w:pPr>
    <w:rPr>
      <w:rFonts w:ascii="Arial" w:eastAsia="Times New Roman" w:hAnsi="Arial" w:cs="Arial"/>
      <w:color w:val="808080"/>
      <w:szCs w:val="24"/>
      <w:lang w:val="es-ES" w:eastAsia="es-ES"/>
    </w:rPr>
  </w:style>
  <w:style w:type="character" w:customStyle="1" w:styleId="SubtuloInformeChar">
    <w:name w:val="Subítulo Informe Char"/>
    <w:rsid w:val="00E015AF"/>
    <w:rPr>
      <w:rFonts w:ascii="Arial" w:hAnsi="Arial" w:cs="Arial"/>
      <w:noProof w:val="0"/>
      <w:color w:val="808080"/>
      <w:sz w:val="24"/>
      <w:szCs w:val="24"/>
      <w:lang w:val="es-ES" w:eastAsia="es-ES" w:bidi="ar-SA"/>
    </w:rPr>
  </w:style>
  <w:style w:type="paragraph" w:customStyle="1" w:styleId="EstiloEpgrafeCentrado">
    <w:name w:val="Estilo Epígrafe + Centrado"/>
    <w:basedOn w:val="Descripcin"/>
    <w:autoRedefine/>
    <w:rsid w:val="00E015AF"/>
    <w:pPr>
      <w:widowControl/>
      <w:adjustRightInd/>
      <w:spacing w:before="0" w:after="240" w:line="240" w:lineRule="auto"/>
      <w:contextualSpacing w:val="0"/>
      <w:textAlignment w:val="auto"/>
    </w:pPr>
    <w:rPr>
      <w:rFonts w:ascii="Bookman Old Style" w:hAnsi="Bookman Old Style"/>
      <w:i/>
      <w:iCs/>
      <w:color w:val="808080"/>
    </w:rPr>
  </w:style>
  <w:style w:type="paragraph" w:styleId="Tabladeilustraciones">
    <w:name w:val="table of figures"/>
    <w:basedOn w:val="Normal"/>
    <w:next w:val="Normal"/>
    <w:rsid w:val="00E015AF"/>
    <w:pPr>
      <w:spacing w:before="120" w:after="120"/>
      <w:contextualSpacing w:val="0"/>
      <w:jc w:val="both"/>
    </w:pPr>
    <w:rPr>
      <w:rFonts w:ascii="Arial" w:eastAsia="Times New Roman" w:hAnsi="Arial" w:cs="Arial"/>
      <w:sz w:val="20"/>
      <w:szCs w:val="20"/>
      <w:lang w:val="es-ES" w:eastAsia="es-ES"/>
    </w:rPr>
  </w:style>
  <w:style w:type="paragraph" w:customStyle="1" w:styleId="CUERPOTEXTO">
    <w:name w:val="CUERPO TEXTO"/>
    <w:rsid w:val="00E015A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c92">
    <w:name w:val="c92"/>
    <w:basedOn w:val="Normal"/>
    <w:uiPriority w:val="99"/>
    <w:rsid w:val="00E015AF"/>
    <w:pPr>
      <w:widowControl w:val="0"/>
      <w:autoSpaceDE w:val="0"/>
      <w:autoSpaceDN w:val="0"/>
      <w:adjustRightInd w:val="0"/>
      <w:spacing w:after="0" w:line="240" w:lineRule="atLeast"/>
      <w:contextualSpacing w:val="0"/>
      <w:jc w:val="center"/>
    </w:pPr>
    <w:rPr>
      <w:rFonts w:ascii="Times New Roman" w:eastAsia="Times New Roman" w:hAnsi="Times New Roman" w:cs="Times New Roman"/>
      <w:szCs w:val="24"/>
      <w:lang w:val="en-US" w:eastAsia="es-CO"/>
    </w:rPr>
  </w:style>
  <w:style w:type="paragraph" w:customStyle="1" w:styleId="p93">
    <w:name w:val="p93"/>
    <w:basedOn w:val="Normal"/>
    <w:uiPriority w:val="99"/>
    <w:rsid w:val="00E015AF"/>
    <w:pPr>
      <w:widowControl w:val="0"/>
      <w:tabs>
        <w:tab w:val="left" w:pos="3526"/>
      </w:tabs>
      <w:autoSpaceDE w:val="0"/>
      <w:autoSpaceDN w:val="0"/>
      <w:adjustRightInd w:val="0"/>
      <w:spacing w:after="0" w:line="240" w:lineRule="atLeast"/>
      <w:ind w:left="726"/>
      <w:contextualSpacing w:val="0"/>
    </w:pPr>
    <w:rPr>
      <w:rFonts w:ascii="Times New Roman" w:eastAsia="Times New Roman" w:hAnsi="Times New Roman" w:cs="Times New Roman"/>
      <w:szCs w:val="24"/>
      <w:lang w:val="en-US" w:eastAsia="es-CO"/>
    </w:rPr>
  </w:style>
  <w:style w:type="paragraph" w:customStyle="1" w:styleId="Estilo3">
    <w:name w:val="Estilo3"/>
    <w:basedOn w:val="Ttulo"/>
    <w:qFormat/>
    <w:rsid w:val="00E015AF"/>
    <w:pPr>
      <w:widowControl/>
      <w:adjustRightInd/>
      <w:spacing w:line="240" w:lineRule="auto"/>
      <w:ind w:left="0"/>
      <w:contextualSpacing w:val="0"/>
      <w:jc w:val="left"/>
      <w:textAlignment w:val="auto"/>
    </w:pPr>
    <w:rPr>
      <w:rFonts w:cs="Times New Roman"/>
      <w:b w:val="0"/>
      <w:bCs w:val="0"/>
      <w:sz w:val="22"/>
      <w:szCs w:val="20"/>
      <w:lang w:val="es-ES_tradnl" w:eastAsia="es-CO"/>
    </w:rPr>
  </w:style>
  <w:style w:type="paragraph" w:customStyle="1" w:styleId="Estilo5">
    <w:name w:val="Estilo5"/>
    <w:basedOn w:val="Estilo1"/>
    <w:qFormat/>
    <w:rsid w:val="00E015AF"/>
    <w:pPr>
      <w:keepNext/>
      <w:numPr>
        <w:numId w:val="6"/>
      </w:numPr>
      <w:shd w:val="clear" w:color="auto" w:fill="auto"/>
      <w:spacing w:before="240" w:after="60"/>
      <w:contextualSpacing w:val="0"/>
      <w:jc w:val="both"/>
      <w:outlineLvl w:val="0"/>
    </w:pPr>
    <w:rPr>
      <w:rFonts w:ascii="Arial" w:hAnsi="Arial"/>
      <w:b/>
      <w:color w:val="auto"/>
      <w:kern w:val="28"/>
      <w:sz w:val="22"/>
      <w:szCs w:val="22"/>
      <w:lang w:val="es-ES_tradnl" w:eastAsia="es-CO"/>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xl75">
    <w:name w:val="xl75"/>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76">
    <w:name w:val="xl76"/>
    <w:basedOn w:val="Normal"/>
    <w:rsid w:val="00E015AF"/>
    <w:pP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7">
    <w:name w:val="xl77"/>
    <w:basedOn w:val="Normal"/>
    <w:rsid w:val="00E015AF"/>
    <w:pP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8">
    <w:name w:val="xl78"/>
    <w:basedOn w:val="Normal"/>
    <w:rsid w:val="00E015AF"/>
    <w:pPr>
      <w:pBdr>
        <w:bottom w:val="single" w:sz="4" w:space="0" w:color="auto"/>
      </w:pBd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9">
    <w:name w:val="xl79"/>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80">
    <w:name w:val="xl80"/>
    <w:basedOn w:val="Normal"/>
    <w:rsid w:val="00E015AF"/>
    <w:pPr>
      <w:shd w:val="clear" w:color="000000" w:fill="FFFFFF"/>
      <w:spacing w:before="100" w:beforeAutospacing="1" w:after="100" w:afterAutospacing="1"/>
      <w:contextualSpacing w:val="0"/>
    </w:pPr>
    <w:rPr>
      <w:rFonts w:eastAsia="Times New Roman" w:cs="Times New Roman"/>
      <w:color w:val="FF0000"/>
      <w:szCs w:val="24"/>
      <w:lang w:eastAsia="es-CO"/>
    </w:rPr>
  </w:style>
  <w:style w:type="paragraph" w:customStyle="1" w:styleId="xl81">
    <w:name w:val="xl81"/>
    <w:basedOn w:val="Normal"/>
    <w:rsid w:val="00E015AF"/>
    <w:pPr>
      <w:pBdr>
        <w:top w:val="single" w:sz="4" w:space="0" w:color="auto"/>
      </w:pBdr>
      <w:shd w:val="clear" w:color="000000" w:fill="FFFFFF"/>
      <w:spacing w:before="100" w:beforeAutospacing="1" w:after="100" w:afterAutospacing="1"/>
      <w:contextualSpacing w:val="0"/>
      <w:jc w:val="center"/>
    </w:pPr>
    <w:rPr>
      <w:rFonts w:eastAsia="Times New Roman" w:cs="Times New Roman"/>
      <w:b/>
      <w:bCs/>
      <w:szCs w:val="24"/>
      <w:lang w:eastAsia="es-CO"/>
    </w:rPr>
  </w:style>
  <w:style w:type="paragraph" w:customStyle="1" w:styleId="xl82">
    <w:name w:val="xl82"/>
    <w:basedOn w:val="Normal"/>
    <w:rsid w:val="00E015AF"/>
    <w:pPr>
      <w:pBdr>
        <w:top w:val="single" w:sz="4" w:space="0" w:color="auto"/>
      </w:pBd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83">
    <w:name w:val="xl83"/>
    <w:basedOn w:val="Normal"/>
    <w:rsid w:val="00E015AF"/>
    <w:pPr>
      <w:pBdr>
        <w:top w:val="single" w:sz="4" w:space="0" w:color="auto"/>
      </w:pBd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84">
    <w:name w:val="xl84"/>
    <w:basedOn w:val="Normal"/>
    <w:rsid w:val="00E015AF"/>
    <w:pPr>
      <w:pBdr>
        <w:bottom w:val="single" w:sz="4" w:space="0" w:color="auto"/>
      </w:pBdr>
      <w:shd w:val="clear" w:color="000000" w:fill="FFFFFF"/>
      <w:spacing w:before="100" w:beforeAutospacing="1" w:after="100" w:afterAutospacing="1"/>
      <w:contextualSpacing w:val="0"/>
    </w:pPr>
    <w:rPr>
      <w:rFonts w:eastAsia="Times New Roman" w:cs="Times New Roman"/>
      <w:sz w:val="20"/>
      <w:szCs w:val="20"/>
      <w:lang w:eastAsia="es-CO"/>
    </w:rPr>
  </w:style>
  <w:style w:type="paragraph" w:customStyle="1" w:styleId="xl85">
    <w:name w:val="xl85"/>
    <w:basedOn w:val="Normal"/>
    <w:rsid w:val="00E015AF"/>
    <w:pPr>
      <w:shd w:val="clear" w:color="000000" w:fill="FFFFFF"/>
      <w:spacing w:before="100" w:beforeAutospacing="1" w:after="100" w:afterAutospacing="1"/>
      <w:contextualSpacing w:val="0"/>
    </w:pPr>
    <w:rPr>
      <w:rFonts w:eastAsia="Times New Roman" w:cs="Times New Roman"/>
      <w:color w:val="000000"/>
      <w:sz w:val="18"/>
      <w:szCs w:val="18"/>
      <w:lang w:eastAsia="es-CO"/>
    </w:rPr>
  </w:style>
  <w:style w:type="paragraph" w:customStyle="1" w:styleId="xl86">
    <w:name w:val="xl86"/>
    <w:basedOn w:val="Normal"/>
    <w:rsid w:val="00E015AF"/>
    <w:pPr>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87">
    <w:name w:val="xl87"/>
    <w:basedOn w:val="Normal"/>
    <w:rsid w:val="00E015AF"/>
    <w:pPr>
      <w:shd w:val="clear" w:color="000000" w:fill="FFFFFF"/>
      <w:spacing w:before="100" w:beforeAutospacing="1" w:after="100" w:afterAutospacing="1"/>
      <w:contextualSpacing w:val="0"/>
    </w:pPr>
    <w:rPr>
      <w:rFonts w:eastAsia="Times New Roman" w:cs="Times New Roman"/>
      <w:color w:val="000000"/>
      <w:sz w:val="18"/>
      <w:szCs w:val="18"/>
      <w:lang w:eastAsia="es-CO"/>
    </w:rPr>
  </w:style>
  <w:style w:type="paragraph" w:customStyle="1" w:styleId="xl88">
    <w:name w:val="xl88"/>
    <w:basedOn w:val="Normal"/>
    <w:rsid w:val="00E015AF"/>
    <w:pPr>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89">
    <w:name w:val="xl89"/>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90">
    <w:name w:val="xl90"/>
    <w:basedOn w:val="Normal"/>
    <w:rsid w:val="00E015AF"/>
    <w:pP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91">
    <w:name w:val="xl91"/>
    <w:basedOn w:val="Normal"/>
    <w:rsid w:val="00E015AF"/>
    <w:pPr>
      <w:shd w:val="clear" w:color="000000" w:fill="FFFFFF"/>
      <w:spacing w:before="100" w:beforeAutospacing="1" w:after="100" w:afterAutospacing="1"/>
      <w:contextualSpacing w:val="0"/>
    </w:pPr>
    <w:rPr>
      <w:rFonts w:eastAsia="Times New Roman" w:cs="Times New Roman"/>
      <w:b/>
      <w:bCs/>
      <w:sz w:val="18"/>
      <w:szCs w:val="18"/>
      <w:lang w:eastAsia="es-CO"/>
    </w:rPr>
  </w:style>
  <w:style w:type="paragraph" w:customStyle="1" w:styleId="xl92">
    <w:name w:val="xl92"/>
    <w:basedOn w:val="Normal"/>
    <w:rsid w:val="00E015AF"/>
    <w:pPr>
      <w:shd w:val="clear" w:color="000000" w:fill="FFFFFF"/>
      <w:spacing w:before="100" w:beforeAutospacing="1" w:after="100" w:afterAutospacing="1"/>
      <w:contextualSpacing w:val="0"/>
      <w:jc w:val="center"/>
    </w:pPr>
    <w:rPr>
      <w:rFonts w:eastAsia="Times New Roman" w:cs="Times New Roman"/>
      <w:sz w:val="18"/>
      <w:szCs w:val="18"/>
      <w:lang w:eastAsia="es-CO"/>
    </w:rPr>
  </w:style>
  <w:style w:type="paragraph" w:customStyle="1" w:styleId="xl93">
    <w:name w:val="xl93"/>
    <w:basedOn w:val="Normal"/>
    <w:rsid w:val="00E015AF"/>
    <w:pPr>
      <w:shd w:val="clear" w:color="000000" w:fill="FFFFFF"/>
      <w:spacing w:before="100" w:beforeAutospacing="1" w:after="100" w:afterAutospacing="1"/>
      <w:contextualSpacing w:val="0"/>
      <w:jc w:val="center"/>
      <w:textAlignment w:val="center"/>
    </w:pPr>
    <w:rPr>
      <w:rFonts w:eastAsia="Times New Roman" w:cs="Times New Roman"/>
      <w:sz w:val="18"/>
      <w:szCs w:val="18"/>
      <w:lang w:eastAsia="es-CO"/>
    </w:rPr>
  </w:style>
  <w:style w:type="paragraph" w:customStyle="1" w:styleId="xl94">
    <w:name w:val="xl94"/>
    <w:basedOn w:val="Normal"/>
    <w:rsid w:val="00E015AF"/>
    <w:pP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xl95">
    <w:name w:val="xl95"/>
    <w:basedOn w:val="Normal"/>
    <w:rsid w:val="00E015AF"/>
    <w:pP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96">
    <w:name w:val="xl96"/>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97">
    <w:name w:val="xl97"/>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98">
    <w:name w:val="xl98"/>
    <w:basedOn w:val="Normal"/>
    <w:rsid w:val="00E015AF"/>
    <w:pPr>
      <w:shd w:val="clear" w:color="000000" w:fill="FFFFFF"/>
      <w:spacing w:before="100" w:beforeAutospacing="1" w:after="100" w:afterAutospacing="1"/>
      <w:contextualSpacing w:val="0"/>
      <w:textAlignment w:val="center"/>
    </w:pPr>
    <w:rPr>
      <w:rFonts w:eastAsia="Times New Roman" w:cs="Times New Roman"/>
      <w:szCs w:val="24"/>
      <w:lang w:eastAsia="es-CO"/>
    </w:rPr>
  </w:style>
  <w:style w:type="paragraph" w:customStyle="1" w:styleId="xl99">
    <w:name w:val="xl99"/>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100">
    <w:name w:val="xl100"/>
    <w:basedOn w:val="Normal"/>
    <w:rsid w:val="00E015AF"/>
    <w:pPr>
      <w:shd w:val="clear" w:color="000000" w:fill="FFFFFF"/>
      <w:spacing w:before="100" w:beforeAutospacing="1" w:after="100" w:afterAutospacing="1"/>
      <w:contextualSpacing w:val="0"/>
    </w:pPr>
    <w:rPr>
      <w:rFonts w:eastAsia="Times New Roman" w:cs="Times New Roman"/>
      <w:b/>
      <w:bCs/>
      <w:sz w:val="18"/>
      <w:szCs w:val="18"/>
      <w:lang w:eastAsia="es-CO"/>
    </w:rPr>
  </w:style>
  <w:style w:type="paragraph" w:customStyle="1" w:styleId="xl101">
    <w:name w:val="xl101"/>
    <w:basedOn w:val="Normal"/>
    <w:rsid w:val="00E015AF"/>
    <w:pP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xl102">
    <w:name w:val="xl102"/>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3">
    <w:name w:val="xl103"/>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4">
    <w:name w:val="xl104"/>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5">
    <w:name w:val="xl105"/>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6">
    <w:name w:val="xl106"/>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107">
    <w:name w:val="xl107"/>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08">
    <w:name w:val="xl108"/>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09">
    <w:name w:val="xl109"/>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10">
    <w:name w:val="xl110"/>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1">
    <w:name w:val="xl111"/>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2">
    <w:name w:val="xl112"/>
    <w:basedOn w:val="Normal"/>
    <w:rsid w:val="00E015AF"/>
    <w:pPr>
      <w:pBdr>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sz w:val="18"/>
      <w:szCs w:val="18"/>
      <w:lang w:eastAsia="es-CO"/>
    </w:rPr>
  </w:style>
  <w:style w:type="paragraph" w:customStyle="1" w:styleId="xl113">
    <w:name w:val="xl113"/>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4">
    <w:name w:val="xl114"/>
    <w:basedOn w:val="Normal"/>
    <w:rsid w:val="00E015AF"/>
    <w:pPr>
      <w:pBdr>
        <w:bottom w:val="single" w:sz="8" w:space="0" w:color="auto"/>
      </w:pBd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Tit1">
    <w:name w:val="Tit1"/>
    <w:basedOn w:val="Ttulo1"/>
    <w:next w:val="Normal"/>
    <w:qFormat/>
    <w:rsid w:val="00EB7CCF"/>
    <w:pPr>
      <w:numPr>
        <w:numId w:val="7"/>
      </w:numPr>
      <w:jc w:val="left"/>
    </w:pPr>
    <w:rPr>
      <w:rFonts w:ascii="Bookman Old Style" w:hAnsi="Bookman Old Style"/>
    </w:rPr>
  </w:style>
  <w:style w:type="paragraph" w:customStyle="1" w:styleId="font7">
    <w:name w:val="font7"/>
    <w:basedOn w:val="Normal"/>
    <w:rsid w:val="00966D8C"/>
    <w:pPr>
      <w:spacing w:before="100" w:beforeAutospacing="1" w:after="100" w:afterAutospacing="1"/>
      <w:contextualSpacing w:val="0"/>
    </w:pPr>
    <w:rPr>
      <w:rFonts w:ascii="Calibri" w:eastAsia="Times New Roman" w:hAnsi="Calibri" w:cs="Calibri"/>
      <w:color w:val="000000"/>
      <w:sz w:val="20"/>
      <w:szCs w:val="20"/>
      <w:lang w:eastAsia="es-MX"/>
    </w:rPr>
  </w:style>
  <w:style w:type="paragraph" w:customStyle="1" w:styleId="font8">
    <w:name w:val="font8"/>
    <w:basedOn w:val="Normal"/>
    <w:rsid w:val="00966D8C"/>
    <w:pPr>
      <w:spacing w:before="100" w:beforeAutospacing="1" w:after="100" w:afterAutospacing="1"/>
      <w:contextualSpacing w:val="0"/>
    </w:pPr>
    <w:rPr>
      <w:rFonts w:ascii="Calibri" w:eastAsia="Times New Roman" w:hAnsi="Calibri" w:cs="Calibri"/>
      <w:color w:val="000000"/>
      <w:sz w:val="20"/>
      <w:szCs w:val="20"/>
      <w:lang w:eastAsia="es-MX"/>
    </w:rPr>
  </w:style>
  <w:style w:type="paragraph" w:customStyle="1" w:styleId="font9">
    <w:name w:val="font9"/>
    <w:basedOn w:val="Normal"/>
    <w:rsid w:val="00966D8C"/>
    <w:pPr>
      <w:spacing w:before="100" w:beforeAutospacing="1" w:after="100" w:afterAutospacing="1"/>
      <w:contextualSpacing w:val="0"/>
    </w:pPr>
    <w:rPr>
      <w:rFonts w:ascii="Calibri" w:eastAsia="Times New Roman" w:hAnsi="Calibri" w:cs="Calibri"/>
      <w:b/>
      <w:bCs/>
      <w:color w:val="000000"/>
      <w:sz w:val="36"/>
      <w:szCs w:val="36"/>
      <w:lang w:eastAsia="es-MX"/>
    </w:rPr>
  </w:style>
  <w:style w:type="paragraph" w:customStyle="1" w:styleId="font10">
    <w:name w:val="font10"/>
    <w:basedOn w:val="Normal"/>
    <w:rsid w:val="00966D8C"/>
    <w:pPr>
      <w:spacing w:before="100" w:beforeAutospacing="1" w:after="100" w:afterAutospacing="1"/>
      <w:contextualSpacing w:val="0"/>
    </w:pPr>
    <w:rPr>
      <w:rFonts w:ascii="Calibri" w:eastAsia="Times New Roman" w:hAnsi="Calibri" w:cs="Calibri"/>
      <w:b/>
      <w:bCs/>
      <w:color w:val="000000"/>
      <w:sz w:val="20"/>
      <w:szCs w:val="20"/>
      <w:lang w:eastAsia="es-MX"/>
    </w:rPr>
  </w:style>
  <w:style w:type="paragraph" w:customStyle="1" w:styleId="font11">
    <w:name w:val="font11"/>
    <w:basedOn w:val="Normal"/>
    <w:rsid w:val="00966D8C"/>
    <w:pPr>
      <w:spacing w:before="100" w:beforeAutospacing="1" w:after="100" w:afterAutospacing="1"/>
      <w:contextualSpacing w:val="0"/>
    </w:pPr>
    <w:rPr>
      <w:rFonts w:ascii="Calibri" w:eastAsia="Times New Roman" w:hAnsi="Calibri" w:cs="Calibri"/>
      <w:color w:val="000000"/>
      <w:sz w:val="8"/>
      <w:szCs w:val="8"/>
      <w:lang w:eastAsia="es-MX"/>
    </w:rPr>
  </w:style>
  <w:style w:type="paragraph" w:customStyle="1" w:styleId="xl122">
    <w:name w:val="xl122"/>
    <w:basedOn w:val="Normal"/>
    <w:rsid w:val="00966D8C"/>
    <w:pPr>
      <w:spacing w:before="100" w:beforeAutospacing="1" w:after="100" w:afterAutospacing="1"/>
      <w:contextualSpacing w:val="0"/>
      <w:jc w:val="center"/>
    </w:pPr>
    <w:rPr>
      <w:rFonts w:ascii="Times New Roman" w:eastAsia="Times New Roman" w:hAnsi="Times New Roman" w:cs="Times New Roman"/>
      <w:szCs w:val="24"/>
      <w:lang w:eastAsia="es-MX"/>
    </w:rPr>
  </w:style>
  <w:style w:type="paragraph" w:customStyle="1" w:styleId="xl123">
    <w:name w:val="xl123"/>
    <w:basedOn w:val="Normal"/>
    <w:rsid w:val="00966D8C"/>
    <w:pPr>
      <w:shd w:val="clear" w:color="000000" w:fill="808080"/>
      <w:spacing w:before="100" w:beforeAutospacing="1" w:after="100" w:afterAutospacing="1"/>
      <w:contextualSpacing w:val="0"/>
      <w:jc w:val="center"/>
      <w:textAlignment w:val="center"/>
    </w:pPr>
    <w:rPr>
      <w:rFonts w:eastAsia="Times New Roman" w:cs="Times New Roman"/>
      <w:b/>
      <w:bCs/>
      <w:color w:val="FFFFFF"/>
      <w:sz w:val="20"/>
      <w:szCs w:val="20"/>
      <w:lang w:eastAsia="es-MX"/>
    </w:rPr>
  </w:style>
  <w:style w:type="paragraph" w:customStyle="1" w:styleId="xl124">
    <w:name w:val="xl124"/>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5">
    <w:name w:val="xl125"/>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6">
    <w:name w:val="xl126"/>
    <w:basedOn w:val="Normal"/>
    <w:rsid w:val="00966D8C"/>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27">
    <w:name w:val="xl127"/>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8">
    <w:name w:val="xl128"/>
    <w:basedOn w:val="Normal"/>
    <w:rsid w:val="00966D8C"/>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29">
    <w:name w:val="xl129"/>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30">
    <w:name w:val="xl130"/>
    <w:basedOn w:val="Normal"/>
    <w:rsid w:val="00966D8C"/>
    <w:pPr>
      <w:pBdr>
        <w:top w:val="single" w:sz="4" w:space="0" w:color="C9C9C9"/>
        <w:left w:val="single" w:sz="4" w:space="0" w:color="C9C9C9"/>
        <w:bottom w:val="single" w:sz="4" w:space="0" w:color="C9C9C9"/>
        <w:right w:val="single" w:sz="4" w:space="0" w:color="C9C9C9"/>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1">
    <w:name w:val="xl131"/>
    <w:basedOn w:val="Normal"/>
    <w:rsid w:val="00966D8C"/>
    <w:pPr>
      <w:spacing w:before="100" w:beforeAutospacing="1" w:after="100" w:afterAutospacing="1"/>
      <w:contextualSpacing w:val="0"/>
    </w:pPr>
    <w:rPr>
      <w:rFonts w:eastAsia="Times New Roman" w:cs="Times New Roman"/>
      <w:b/>
      <w:bCs/>
      <w:sz w:val="20"/>
      <w:szCs w:val="20"/>
      <w:lang w:eastAsia="es-MX"/>
    </w:rPr>
  </w:style>
  <w:style w:type="paragraph" w:customStyle="1" w:styleId="xl132">
    <w:name w:val="xl132"/>
    <w:basedOn w:val="Normal"/>
    <w:rsid w:val="00966D8C"/>
    <w:pPr>
      <w:pBdr>
        <w:top w:val="single" w:sz="4" w:space="0" w:color="C9C9C9"/>
        <w:left w:val="single" w:sz="4" w:space="0" w:color="C9C9C9"/>
        <w:bottom w:val="single" w:sz="4" w:space="0" w:color="C9C9C9"/>
        <w:right w:val="single" w:sz="4" w:space="0" w:color="C9C9C9"/>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3">
    <w:name w:val="xl133"/>
    <w:basedOn w:val="Normal"/>
    <w:rsid w:val="00966D8C"/>
    <w:pPr>
      <w:pBdr>
        <w:top w:val="single" w:sz="4" w:space="0" w:color="BFBFBF"/>
        <w:left w:val="single" w:sz="4" w:space="0" w:color="BFBFBF"/>
        <w:bottom w:val="single" w:sz="4" w:space="0" w:color="BFBFBF"/>
        <w:right w:val="single" w:sz="4" w:space="0" w:color="BFBFBF"/>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4">
    <w:name w:val="xl134"/>
    <w:basedOn w:val="Normal"/>
    <w:rsid w:val="00966D8C"/>
    <w:pPr>
      <w:spacing w:before="100" w:beforeAutospacing="1" w:after="100" w:afterAutospacing="1"/>
      <w:contextualSpacing w:val="0"/>
      <w:jc w:val="center"/>
      <w:textAlignment w:val="center"/>
    </w:pPr>
    <w:rPr>
      <w:rFonts w:eastAsia="Times New Roman" w:cs="Times New Roman"/>
      <w:sz w:val="20"/>
      <w:szCs w:val="20"/>
      <w:lang w:eastAsia="es-MX"/>
    </w:rPr>
  </w:style>
  <w:style w:type="paragraph" w:customStyle="1" w:styleId="xl135">
    <w:name w:val="xl135"/>
    <w:basedOn w:val="Normal"/>
    <w:rsid w:val="00966D8C"/>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6">
    <w:name w:val="xl136"/>
    <w:basedOn w:val="Normal"/>
    <w:rsid w:val="00966D8C"/>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7">
    <w:name w:val="xl137"/>
    <w:basedOn w:val="Normal"/>
    <w:rsid w:val="00966D8C"/>
    <w:pPr>
      <w:spacing w:before="100" w:beforeAutospacing="1" w:after="100" w:afterAutospacing="1"/>
      <w:contextualSpacing w:val="0"/>
    </w:pPr>
    <w:rPr>
      <w:rFonts w:eastAsia="Times New Roman" w:cs="Times New Roman"/>
      <w:b/>
      <w:bCs/>
      <w:sz w:val="20"/>
      <w:szCs w:val="20"/>
      <w:lang w:eastAsia="es-MX"/>
    </w:rPr>
  </w:style>
  <w:style w:type="paragraph" w:customStyle="1" w:styleId="xl138">
    <w:name w:val="xl138"/>
    <w:basedOn w:val="Normal"/>
    <w:rsid w:val="00820006"/>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9">
    <w:name w:val="xl139"/>
    <w:basedOn w:val="Normal"/>
    <w:rsid w:val="00820006"/>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40">
    <w:name w:val="xl140"/>
    <w:basedOn w:val="Normal"/>
    <w:rsid w:val="00820006"/>
    <w:pPr>
      <w:pBdr>
        <w:top w:val="single" w:sz="4" w:space="0" w:color="A5A5A5"/>
        <w:left w:val="single" w:sz="4" w:space="0" w:color="A5A5A5"/>
        <w:bottom w:val="single" w:sz="4" w:space="0" w:color="A5A5A5"/>
        <w:right w:val="single" w:sz="4" w:space="0" w:color="A5A5A5"/>
      </w:pBdr>
      <w:shd w:val="clear" w:color="EDEDED" w:fill="F2F2F2"/>
      <w:spacing w:before="100" w:beforeAutospacing="1" w:after="100" w:afterAutospacing="1"/>
      <w:contextualSpacing w:val="0"/>
    </w:pPr>
    <w:rPr>
      <w:rFonts w:eastAsia="Times New Roman" w:cs="Times New Roman"/>
      <w:sz w:val="20"/>
      <w:szCs w:val="20"/>
      <w:lang w:eastAsia="es-MX"/>
    </w:rPr>
  </w:style>
  <w:style w:type="paragraph" w:customStyle="1" w:styleId="xl141">
    <w:name w:val="xl141"/>
    <w:basedOn w:val="Normal"/>
    <w:rsid w:val="00820006"/>
    <w:pPr>
      <w:spacing w:before="100" w:beforeAutospacing="1" w:after="100" w:afterAutospacing="1"/>
      <w:contextualSpacing w:val="0"/>
      <w:jc w:val="right"/>
    </w:pPr>
    <w:rPr>
      <w:rFonts w:eastAsia="Times New Roman" w:cs="Times New Roman"/>
      <w:sz w:val="20"/>
      <w:szCs w:val="20"/>
      <w:lang w:eastAsia="es-MX"/>
    </w:rPr>
  </w:style>
  <w:style w:type="paragraph" w:customStyle="1" w:styleId="xl142">
    <w:name w:val="xl142"/>
    <w:basedOn w:val="Normal"/>
    <w:rsid w:val="00820006"/>
    <w:pPr>
      <w:shd w:val="clear" w:color="000000" w:fill="808080"/>
      <w:spacing w:before="100" w:beforeAutospacing="1" w:after="100" w:afterAutospacing="1"/>
      <w:contextualSpacing w:val="0"/>
      <w:jc w:val="center"/>
      <w:textAlignment w:val="center"/>
    </w:pPr>
    <w:rPr>
      <w:rFonts w:eastAsia="Times New Roman" w:cs="Times New Roman"/>
      <w:b/>
      <w:bCs/>
      <w:color w:val="FFFFFF"/>
      <w:sz w:val="20"/>
      <w:szCs w:val="20"/>
      <w:lang w:eastAsia="es-MX"/>
    </w:rPr>
  </w:style>
  <w:style w:type="paragraph" w:customStyle="1" w:styleId="xl143">
    <w:name w:val="xl143"/>
    <w:basedOn w:val="Normal"/>
    <w:rsid w:val="00820006"/>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44">
    <w:name w:val="xl144"/>
    <w:basedOn w:val="Normal"/>
    <w:rsid w:val="00820006"/>
    <w:pPr>
      <w:spacing w:before="100" w:beforeAutospacing="1" w:after="100" w:afterAutospacing="1"/>
      <w:contextualSpacing w:val="0"/>
      <w:jc w:val="center"/>
      <w:textAlignment w:val="center"/>
    </w:pPr>
    <w:rPr>
      <w:rFonts w:eastAsia="Times New Roman" w:cs="Times New Roman"/>
      <w:sz w:val="20"/>
      <w:szCs w:val="20"/>
      <w:lang w:eastAsia="es-MX"/>
    </w:rPr>
  </w:style>
  <w:style w:type="paragraph" w:customStyle="1" w:styleId="Default">
    <w:name w:val="Default"/>
    <w:rsid w:val="003633FE"/>
    <w:pPr>
      <w:autoSpaceDE w:val="0"/>
      <w:autoSpaceDN w:val="0"/>
      <w:adjustRightInd w:val="0"/>
      <w:spacing w:after="0" w:line="240" w:lineRule="auto"/>
    </w:pPr>
    <w:rPr>
      <w:rFonts w:ascii="Muli" w:hAnsi="Muli" w:cs="Muli"/>
      <w:color w:val="000000"/>
      <w:sz w:val="24"/>
      <w:szCs w:val="24"/>
    </w:rPr>
  </w:style>
  <w:style w:type="paragraph" w:customStyle="1" w:styleId="tituloarticulo">
    <w:name w:val="titulo articulo"/>
    <w:basedOn w:val="Normal"/>
    <w:next w:val="Normal"/>
    <w:qFormat/>
    <w:rsid w:val="00B55C9E"/>
    <w:pPr>
      <w:keepNext/>
      <w:tabs>
        <w:tab w:val="num" w:pos="360"/>
      </w:tabs>
      <w:spacing w:before="240" w:after="60"/>
      <w:ind w:left="360" w:hanging="360"/>
      <w:contextualSpacing w:val="0"/>
      <w:jc w:val="both"/>
      <w:outlineLvl w:val="0"/>
    </w:pPr>
    <w:rPr>
      <w:rFonts w:eastAsia="Times New Roman" w:cs="Times New Roman"/>
      <w:b/>
      <w:kern w:val="28"/>
      <w:szCs w:val="24"/>
      <w:lang w:val="es-ES_tradnl" w:eastAsia="es-CO"/>
    </w:rPr>
  </w:style>
  <w:style w:type="paragraph" w:customStyle="1" w:styleId="paragraph">
    <w:name w:val="paragraph"/>
    <w:basedOn w:val="Normal"/>
    <w:rsid w:val="00E40629"/>
    <w:pPr>
      <w:spacing w:before="100" w:beforeAutospacing="1" w:after="100" w:afterAutospacing="1"/>
      <w:contextualSpacing w:val="0"/>
    </w:pPr>
    <w:rPr>
      <w:rFonts w:ascii="Times New Roman" w:eastAsia="Times New Roman" w:hAnsi="Times New Roman" w:cs="Times New Roman"/>
      <w:szCs w:val="24"/>
      <w:lang w:eastAsia="es-CO"/>
    </w:rPr>
  </w:style>
  <w:style w:type="character" w:customStyle="1" w:styleId="normaltextrun">
    <w:name w:val="normaltextrun"/>
    <w:basedOn w:val="Fuentedeprrafopredeter"/>
    <w:rsid w:val="00E40629"/>
  </w:style>
  <w:style w:type="character" w:customStyle="1" w:styleId="eop">
    <w:name w:val="eop"/>
    <w:basedOn w:val="Fuentedeprrafopredeter"/>
    <w:rsid w:val="00E40629"/>
  </w:style>
  <w:style w:type="character" w:styleId="Mencinsinresolver">
    <w:name w:val="Unresolved Mention"/>
    <w:basedOn w:val="Fuentedeprrafopredeter"/>
    <w:uiPriority w:val="99"/>
    <w:semiHidden/>
    <w:unhideWhenUsed/>
    <w:rsid w:val="00BF4BAE"/>
    <w:rPr>
      <w:color w:val="605E5C"/>
      <w:shd w:val="clear" w:color="auto" w:fill="E1DFDD"/>
    </w:rPr>
  </w:style>
  <w:style w:type="character" w:styleId="Mencionar">
    <w:name w:val="Mention"/>
    <w:basedOn w:val="Fuentedeprrafopredeter"/>
    <w:uiPriority w:val="99"/>
    <w:unhideWhenUsed/>
    <w:rsid w:val="00C751B0"/>
    <w:rPr>
      <w:color w:val="2B579A"/>
      <w:shd w:val="clear" w:color="auto" w:fill="E1DFDD"/>
    </w:rPr>
  </w:style>
  <w:style w:type="paragraph" w:customStyle="1" w:styleId="pf0">
    <w:name w:val="pf0"/>
    <w:basedOn w:val="Normal"/>
    <w:rsid w:val="00A30C5F"/>
    <w:pPr>
      <w:spacing w:before="100" w:beforeAutospacing="1" w:after="100" w:afterAutospacing="1"/>
      <w:contextualSpacing w:val="0"/>
    </w:pPr>
    <w:rPr>
      <w:rFonts w:ascii="Times New Roman" w:eastAsia="Times New Roman" w:hAnsi="Times New Roman" w:cs="Times New Roman"/>
      <w:szCs w:val="24"/>
      <w:lang w:eastAsia="es-CO"/>
    </w:rPr>
  </w:style>
  <w:style w:type="character" w:customStyle="1" w:styleId="cf01">
    <w:name w:val="cf01"/>
    <w:basedOn w:val="Fuentedeprrafopredeter"/>
    <w:rsid w:val="00A30C5F"/>
    <w:rPr>
      <w:rFonts w:ascii="Segoe UI" w:hAnsi="Segoe UI" w:cs="Segoe UI" w:hint="default"/>
      <w:sz w:val="18"/>
      <w:szCs w:val="18"/>
    </w:rPr>
  </w:style>
  <w:style w:type="table" w:customStyle="1" w:styleId="TableGrid0">
    <w:name w:val="Table Grid0"/>
    <w:rsid w:val="00593103"/>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888">
      <w:bodyDiv w:val="1"/>
      <w:marLeft w:val="0"/>
      <w:marRight w:val="0"/>
      <w:marTop w:val="0"/>
      <w:marBottom w:val="0"/>
      <w:divBdr>
        <w:top w:val="none" w:sz="0" w:space="0" w:color="auto"/>
        <w:left w:val="none" w:sz="0" w:space="0" w:color="auto"/>
        <w:bottom w:val="none" w:sz="0" w:space="0" w:color="auto"/>
        <w:right w:val="none" w:sz="0" w:space="0" w:color="auto"/>
      </w:divBdr>
      <w:divsChild>
        <w:div w:id="782767586">
          <w:marLeft w:val="274"/>
          <w:marRight w:val="0"/>
          <w:marTop w:val="0"/>
          <w:marBottom w:val="120"/>
          <w:divBdr>
            <w:top w:val="none" w:sz="0" w:space="0" w:color="auto"/>
            <w:left w:val="none" w:sz="0" w:space="0" w:color="auto"/>
            <w:bottom w:val="none" w:sz="0" w:space="0" w:color="auto"/>
            <w:right w:val="none" w:sz="0" w:space="0" w:color="auto"/>
          </w:divBdr>
        </w:div>
      </w:divsChild>
    </w:div>
    <w:div w:id="18437935">
      <w:bodyDiv w:val="1"/>
      <w:marLeft w:val="0"/>
      <w:marRight w:val="0"/>
      <w:marTop w:val="0"/>
      <w:marBottom w:val="0"/>
      <w:divBdr>
        <w:top w:val="none" w:sz="0" w:space="0" w:color="auto"/>
        <w:left w:val="none" w:sz="0" w:space="0" w:color="auto"/>
        <w:bottom w:val="none" w:sz="0" w:space="0" w:color="auto"/>
        <w:right w:val="none" w:sz="0" w:space="0" w:color="auto"/>
      </w:divBdr>
    </w:div>
    <w:div w:id="46417449">
      <w:bodyDiv w:val="1"/>
      <w:marLeft w:val="0"/>
      <w:marRight w:val="0"/>
      <w:marTop w:val="0"/>
      <w:marBottom w:val="0"/>
      <w:divBdr>
        <w:top w:val="none" w:sz="0" w:space="0" w:color="auto"/>
        <w:left w:val="none" w:sz="0" w:space="0" w:color="auto"/>
        <w:bottom w:val="none" w:sz="0" w:space="0" w:color="auto"/>
        <w:right w:val="none" w:sz="0" w:space="0" w:color="auto"/>
      </w:divBdr>
    </w:div>
    <w:div w:id="52316744">
      <w:bodyDiv w:val="1"/>
      <w:marLeft w:val="0"/>
      <w:marRight w:val="0"/>
      <w:marTop w:val="0"/>
      <w:marBottom w:val="0"/>
      <w:divBdr>
        <w:top w:val="none" w:sz="0" w:space="0" w:color="auto"/>
        <w:left w:val="none" w:sz="0" w:space="0" w:color="auto"/>
        <w:bottom w:val="none" w:sz="0" w:space="0" w:color="auto"/>
        <w:right w:val="none" w:sz="0" w:space="0" w:color="auto"/>
      </w:divBdr>
    </w:div>
    <w:div w:id="101339987">
      <w:bodyDiv w:val="1"/>
      <w:marLeft w:val="0"/>
      <w:marRight w:val="0"/>
      <w:marTop w:val="0"/>
      <w:marBottom w:val="0"/>
      <w:divBdr>
        <w:top w:val="none" w:sz="0" w:space="0" w:color="auto"/>
        <w:left w:val="none" w:sz="0" w:space="0" w:color="auto"/>
        <w:bottom w:val="none" w:sz="0" w:space="0" w:color="auto"/>
        <w:right w:val="none" w:sz="0" w:space="0" w:color="auto"/>
      </w:divBdr>
      <w:divsChild>
        <w:div w:id="979044069">
          <w:marLeft w:val="0"/>
          <w:marRight w:val="0"/>
          <w:marTop w:val="0"/>
          <w:marBottom w:val="0"/>
          <w:divBdr>
            <w:top w:val="none" w:sz="0" w:space="0" w:color="auto"/>
            <w:left w:val="none" w:sz="0" w:space="0" w:color="auto"/>
            <w:bottom w:val="none" w:sz="0" w:space="0" w:color="auto"/>
            <w:right w:val="none" w:sz="0" w:space="0" w:color="auto"/>
          </w:divBdr>
          <w:divsChild>
            <w:div w:id="761266815">
              <w:marLeft w:val="0"/>
              <w:marRight w:val="0"/>
              <w:marTop w:val="0"/>
              <w:marBottom w:val="0"/>
              <w:divBdr>
                <w:top w:val="none" w:sz="0" w:space="0" w:color="auto"/>
                <w:left w:val="none" w:sz="0" w:space="0" w:color="auto"/>
                <w:bottom w:val="none" w:sz="0" w:space="0" w:color="auto"/>
                <w:right w:val="none" w:sz="0" w:space="0" w:color="auto"/>
              </w:divBdr>
              <w:divsChild>
                <w:div w:id="113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2606">
      <w:bodyDiv w:val="1"/>
      <w:marLeft w:val="0"/>
      <w:marRight w:val="0"/>
      <w:marTop w:val="0"/>
      <w:marBottom w:val="0"/>
      <w:divBdr>
        <w:top w:val="none" w:sz="0" w:space="0" w:color="auto"/>
        <w:left w:val="none" w:sz="0" w:space="0" w:color="auto"/>
        <w:bottom w:val="none" w:sz="0" w:space="0" w:color="auto"/>
        <w:right w:val="none" w:sz="0" w:space="0" w:color="auto"/>
      </w:divBdr>
    </w:div>
    <w:div w:id="106512877">
      <w:bodyDiv w:val="1"/>
      <w:marLeft w:val="0"/>
      <w:marRight w:val="0"/>
      <w:marTop w:val="0"/>
      <w:marBottom w:val="0"/>
      <w:divBdr>
        <w:top w:val="none" w:sz="0" w:space="0" w:color="auto"/>
        <w:left w:val="none" w:sz="0" w:space="0" w:color="auto"/>
        <w:bottom w:val="none" w:sz="0" w:space="0" w:color="auto"/>
        <w:right w:val="none" w:sz="0" w:space="0" w:color="auto"/>
      </w:divBdr>
    </w:div>
    <w:div w:id="108667032">
      <w:bodyDiv w:val="1"/>
      <w:marLeft w:val="0"/>
      <w:marRight w:val="0"/>
      <w:marTop w:val="0"/>
      <w:marBottom w:val="0"/>
      <w:divBdr>
        <w:top w:val="none" w:sz="0" w:space="0" w:color="auto"/>
        <w:left w:val="none" w:sz="0" w:space="0" w:color="auto"/>
        <w:bottom w:val="none" w:sz="0" w:space="0" w:color="auto"/>
        <w:right w:val="none" w:sz="0" w:space="0" w:color="auto"/>
      </w:divBdr>
    </w:div>
    <w:div w:id="130445693">
      <w:bodyDiv w:val="1"/>
      <w:marLeft w:val="0"/>
      <w:marRight w:val="0"/>
      <w:marTop w:val="0"/>
      <w:marBottom w:val="0"/>
      <w:divBdr>
        <w:top w:val="none" w:sz="0" w:space="0" w:color="auto"/>
        <w:left w:val="none" w:sz="0" w:space="0" w:color="auto"/>
        <w:bottom w:val="none" w:sz="0" w:space="0" w:color="auto"/>
        <w:right w:val="none" w:sz="0" w:space="0" w:color="auto"/>
      </w:divBdr>
    </w:div>
    <w:div w:id="151455879">
      <w:bodyDiv w:val="1"/>
      <w:marLeft w:val="0"/>
      <w:marRight w:val="0"/>
      <w:marTop w:val="0"/>
      <w:marBottom w:val="0"/>
      <w:divBdr>
        <w:top w:val="none" w:sz="0" w:space="0" w:color="auto"/>
        <w:left w:val="none" w:sz="0" w:space="0" w:color="auto"/>
        <w:bottom w:val="none" w:sz="0" w:space="0" w:color="auto"/>
        <w:right w:val="none" w:sz="0" w:space="0" w:color="auto"/>
      </w:divBdr>
    </w:div>
    <w:div w:id="152113082">
      <w:bodyDiv w:val="1"/>
      <w:marLeft w:val="0"/>
      <w:marRight w:val="0"/>
      <w:marTop w:val="0"/>
      <w:marBottom w:val="0"/>
      <w:divBdr>
        <w:top w:val="none" w:sz="0" w:space="0" w:color="auto"/>
        <w:left w:val="none" w:sz="0" w:space="0" w:color="auto"/>
        <w:bottom w:val="none" w:sz="0" w:space="0" w:color="auto"/>
        <w:right w:val="none" w:sz="0" w:space="0" w:color="auto"/>
      </w:divBdr>
    </w:div>
    <w:div w:id="169375863">
      <w:bodyDiv w:val="1"/>
      <w:marLeft w:val="0"/>
      <w:marRight w:val="0"/>
      <w:marTop w:val="0"/>
      <w:marBottom w:val="0"/>
      <w:divBdr>
        <w:top w:val="none" w:sz="0" w:space="0" w:color="auto"/>
        <w:left w:val="none" w:sz="0" w:space="0" w:color="auto"/>
        <w:bottom w:val="none" w:sz="0" w:space="0" w:color="auto"/>
        <w:right w:val="none" w:sz="0" w:space="0" w:color="auto"/>
      </w:divBdr>
    </w:div>
    <w:div w:id="171342477">
      <w:bodyDiv w:val="1"/>
      <w:marLeft w:val="0"/>
      <w:marRight w:val="0"/>
      <w:marTop w:val="0"/>
      <w:marBottom w:val="0"/>
      <w:divBdr>
        <w:top w:val="none" w:sz="0" w:space="0" w:color="auto"/>
        <w:left w:val="none" w:sz="0" w:space="0" w:color="auto"/>
        <w:bottom w:val="none" w:sz="0" w:space="0" w:color="auto"/>
        <w:right w:val="none" w:sz="0" w:space="0" w:color="auto"/>
      </w:divBdr>
      <w:divsChild>
        <w:div w:id="1960450120">
          <w:marLeft w:val="0"/>
          <w:marRight w:val="0"/>
          <w:marTop w:val="0"/>
          <w:marBottom w:val="0"/>
          <w:divBdr>
            <w:top w:val="none" w:sz="0" w:space="0" w:color="auto"/>
            <w:left w:val="none" w:sz="0" w:space="0" w:color="auto"/>
            <w:bottom w:val="none" w:sz="0" w:space="0" w:color="auto"/>
            <w:right w:val="none" w:sz="0" w:space="0" w:color="auto"/>
          </w:divBdr>
          <w:divsChild>
            <w:div w:id="60179073">
              <w:marLeft w:val="0"/>
              <w:marRight w:val="0"/>
              <w:marTop w:val="0"/>
              <w:marBottom w:val="0"/>
              <w:divBdr>
                <w:top w:val="none" w:sz="0" w:space="0" w:color="auto"/>
                <w:left w:val="none" w:sz="0" w:space="0" w:color="auto"/>
                <w:bottom w:val="none" w:sz="0" w:space="0" w:color="auto"/>
                <w:right w:val="none" w:sz="0" w:space="0" w:color="auto"/>
              </w:divBdr>
              <w:divsChild>
                <w:div w:id="1932155053">
                  <w:marLeft w:val="0"/>
                  <w:marRight w:val="0"/>
                  <w:marTop w:val="0"/>
                  <w:marBottom w:val="0"/>
                  <w:divBdr>
                    <w:top w:val="none" w:sz="0" w:space="0" w:color="auto"/>
                    <w:left w:val="none" w:sz="0" w:space="0" w:color="auto"/>
                    <w:bottom w:val="none" w:sz="0" w:space="0" w:color="auto"/>
                    <w:right w:val="none" w:sz="0" w:space="0" w:color="auto"/>
                  </w:divBdr>
                  <w:divsChild>
                    <w:div w:id="19629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0352">
      <w:bodyDiv w:val="1"/>
      <w:marLeft w:val="0"/>
      <w:marRight w:val="0"/>
      <w:marTop w:val="0"/>
      <w:marBottom w:val="0"/>
      <w:divBdr>
        <w:top w:val="none" w:sz="0" w:space="0" w:color="auto"/>
        <w:left w:val="none" w:sz="0" w:space="0" w:color="auto"/>
        <w:bottom w:val="none" w:sz="0" w:space="0" w:color="auto"/>
        <w:right w:val="none" w:sz="0" w:space="0" w:color="auto"/>
      </w:divBdr>
    </w:div>
    <w:div w:id="191310432">
      <w:bodyDiv w:val="1"/>
      <w:marLeft w:val="0"/>
      <w:marRight w:val="0"/>
      <w:marTop w:val="0"/>
      <w:marBottom w:val="0"/>
      <w:divBdr>
        <w:top w:val="none" w:sz="0" w:space="0" w:color="auto"/>
        <w:left w:val="none" w:sz="0" w:space="0" w:color="auto"/>
        <w:bottom w:val="none" w:sz="0" w:space="0" w:color="auto"/>
        <w:right w:val="none" w:sz="0" w:space="0" w:color="auto"/>
      </w:divBdr>
    </w:div>
    <w:div w:id="193157903">
      <w:bodyDiv w:val="1"/>
      <w:marLeft w:val="0"/>
      <w:marRight w:val="0"/>
      <w:marTop w:val="0"/>
      <w:marBottom w:val="0"/>
      <w:divBdr>
        <w:top w:val="none" w:sz="0" w:space="0" w:color="auto"/>
        <w:left w:val="none" w:sz="0" w:space="0" w:color="auto"/>
        <w:bottom w:val="none" w:sz="0" w:space="0" w:color="auto"/>
        <w:right w:val="none" w:sz="0" w:space="0" w:color="auto"/>
      </w:divBdr>
    </w:div>
    <w:div w:id="231887598">
      <w:bodyDiv w:val="1"/>
      <w:marLeft w:val="0"/>
      <w:marRight w:val="0"/>
      <w:marTop w:val="0"/>
      <w:marBottom w:val="0"/>
      <w:divBdr>
        <w:top w:val="none" w:sz="0" w:space="0" w:color="auto"/>
        <w:left w:val="none" w:sz="0" w:space="0" w:color="auto"/>
        <w:bottom w:val="none" w:sz="0" w:space="0" w:color="auto"/>
        <w:right w:val="none" w:sz="0" w:space="0" w:color="auto"/>
      </w:divBdr>
      <w:divsChild>
        <w:div w:id="1872575055">
          <w:marLeft w:val="0"/>
          <w:marRight w:val="0"/>
          <w:marTop w:val="0"/>
          <w:marBottom w:val="0"/>
          <w:divBdr>
            <w:top w:val="none" w:sz="0" w:space="0" w:color="auto"/>
            <w:left w:val="none" w:sz="0" w:space="0" w:color="auto"/>
            <w:bottom w:val="none" w:sz="0" w:space="0" w:color="auto"/>
            <w:right w:val="none" w:sz="0" w:space="0" w:color="auto"/>
          </w:divBdr>
          <w:divsChild>
            <w:div w:id="1226181973">
              <w:marLeft w:val="0"/>
              <w:marRight w:val="0"/>
              <w:marTop w:val="0"/>
              <w:marBottom w:val="0"/>
              <w:divBdr>
                <w:top w:val="none" w:sz="0" w:space="0" w:color="auto"/>
                <w:left w:val="none" w:sz="0" w:space="0" w:color="auto"/>
                <w:bottom w:val="none" w:sz="0" w:space="0" w:color="auto"/>
                <w:right w:val="none" w:sz="0" w:space="0" w:color="auto"/>
              </w:divBdr>
              <w:divsChild>
                <w:div w:id="1365908237">
                  <w:marLeft w:val="0"/>
                  <w:marRight w:val="0"/>
                  <w:marTop w:val="0"/>
                  <w:marBottom w:val="0"/>
                  <w:divBdr>
                    <w:top w:val="none" w:sz="0" w:space="0" w:color="auto"/>
                    <w:left w:val="none" w:sz="0" w:space="0" w:color="auto"/>
                    <w:bottom w:val="none" w:sz="0" w:space="0" w:color="auto"/>
                    <w:right w:val="none" w:sz="0" w:space="0" w:color="auto"/>
                  </w:divBdr>
                  <w:divsChild>
                    <w:div w:id="12944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9558">
      <w:bodyDiv w:val="1"/>
      <w:marLeft w:val="0"/>
      <w:marRight w:val="0"/>
      <w:marTop w:val="0"/>
      <w:marBottom w:val="0"/>
      <w:divBdr>
        <w:top w:val="none" w:sz="0" w:space="0" w:color="auto"/>
        <w:left w:val="none" w:sz="0" w:space="0" w:color="auto"/>
        <w:bottom w:val="none" w:sz="0" w:space="0" w:color="auto"/>
        <w:right w:val="none" w:sz="0" w:space="0" w:color="auto"/>
      </w:divBdr>
    </w:div>
    <w:div w:id="260141835">
      <w:bodyDiv w:val="1"/>
      <w:marLeft w:val="0"/>
      <w:marRight w:val="0"/>
      <w:marTop w:val="0"/>
      <w:marBottom w:val="0"/>
      <w:divBdr>
        <w:top w:val="none" w:sz="0" w:space="0" w:color="auto"/>
        <w:left w:val="none" w:sz="0" w:space="0" w:color="auto"/>
        <w:bottom w:val="none" w:sz="0" w:space="0" w:color="auto"/>
        <w:right w:val="none" w:sz="0" w:space="0" w:color="auto"/>
      </w:divBdr>
    </w:div>
    <w:div w:id="274754381">
      <w:bodyDiv w:val="1"/>
      <w:marLeft w:val="0"/>
      <w:marRight w:val="0"/>
      <w:marTop w:val="0"/>
      <w:marBottom w:val="0"/>
      <w:divBdr>
        <w:top w:val="none" w:sz="0" w:space="0" w:color="auto"/>
        <w:left w:val="none" w:sz="0" w:space="0" w:color="auto"/>
        <w:bottom w:val="none" w:sz="0" w:space="0" w:color="auto"/>
        <w:right w:val="none" w:sz="0" w:space="0" w:color="auto"/>
      </w:divBdr>
      <w:divsChild>
        <w:div w:id="702293619">
          <w:marLeft w:val="274"/>
          <w:marRight w:val="0"/>
          <w:marTop w:val="0"/>
          <w:marBottom w:val="240"/>
          <w:divBdr>
            <w:top w:val="none" w:sz="0" w:space="0" w:color="auto"/>
            <w:left w:val="none" w:sz="0" w:space="0" w:color="auto"/>
            <w:bottom w:val="none" w:sz="0" w:space="0" w:color="auto"/>
            <w:right w:val="none" w:sz="0" w:space="0" w:color="auto"/>
          </w:divBdr>
        </w:div>
      </w:divsChild>
    </w:div>
    <w:div w:id="284579637">
      <w:bodyDiv w:val="1"/>
      <w:marLeft w:val="0"/>
      <w:marRight w:val="0"/>
      <w:marTop w:val="0"/>
      <w:marBottom w:val="0"/>
      <w:divBdr>
        <w:top w:val="none" w:sz="0" w:space="0" w:color="auto"/>
        <w:left w:val="none" w:sz="0" w:space="0" w:color="auto"/>
        <w:bottom w:val="none" w:sz="0" w:space="0" w:color="auto"/>
        <w:right w:val="none" w:sz="0" w:space="0" w:color="auto"/>
      </w:divBdr>
    </w:div>
    <w:div w:id="286546125">
      <w:bodyDiv w:val="1"/>
      <w:marLeft w:val="0"/>
      <w:marRight w:val="0"/>
      <w:marTop w:val="0"/>
      <w:marBottom w:val="0"/>
      <w:divBdr>
        <w:top w:val="none" w:sz="0" w:space="0" w:color="auto"/>
        <w:left w:val="none" w:sz="0" w:space="0" w:color="auto"/>
        <w:bottom w:val="none" w:sz="0" w:space="0" w:color="auto"/>
        <w:right w:val="none" w:sz="0" w:space="0" w:color="auto"/>
      </w:divBdr>
    </w:div>
    <w:div w:id="292368367">
      <w:bodyDiv w:val="1"/>
      <w:marLeft w:val="0"/>
      <w:marRight w:val="0"/>
      <w:marTop w:val="0"/>
      <w:marBottom w:val="0"/>
      <w:divBdr>
        <w:top w:val="none" w:sz="0" w:space="0" w:color="auto"/>
        <w:left w:val="none" w:sz="0" w:space="0" w:color="auto"/>
        <w:bottom w:val="none" w:sz="0" w:space="0" w:color="auto"/>
        <w:right w:val="none" w:sz="0" w:space="0" w:color="auto"/>
      </w:divBdr>
      <w:divsChild>
        <w:div w:id="1327200442">
          <w:marLeft w:val="0"/>
          <w:marRight w:val="0"/>
          <w:marTop w:val="0"/>
          <w:marBottom w:val="0"/>
          <w:divBdr>
            <w:top w:val="none" w:sz="0" w:space="0" w:color="auto"/>
            <w:left w:val="none" w:sz="0" w:space="0" w:color="auto"/>
            <w:bottom w:val="none" w:sz="0" w:space="0" w:color="auto"/>
            <w:right w:val="none" w:sz="0" w:space="0" w:color="auto"/>
          </w:divBdr>
          <w:divsChild>
            <w:div w:id="307439130">
              <w:marLeft w:val="0"/>
              <w:marRight w:val="0"/>
              <w:marTop w:val="0"/>
              <w:marBottom w:val="0"/>
              <w:divBdr>
                <w:top w:val="none" w:sz="0" w:space="0" w:color="auto"/>
                <w:left w:val="none" w:sz="0" w:space="0" w:color="auto"/>
                <w:bottom w:val="none" w:sz="0" w:space="0" w:color="auto"/>
                <w:right w:val="none" w:sz="0" w:space="0" w:color="auto"/>
              </w:divBdr>
              <w:divsChild>
                <w:div w:id="467673895">
                  <w:marLeft w:val="0"/>
                  <w:marRight w:val="0"/>
                  <w:marTop w:val="0"/>
                  <w:marBottom w:val="0"/>
                  <w:divBdr>
                    <w:top w:val="none" w:sz="0" w:space="0" w:color="auto"/>
                    <w:left w:val="none" w:sz="0" w:space="0" w:color="auto"/>
                    <w:bottom w:val="none" w:sz="0" w:space="0" w:color="auto"/>
                    <w:right w:val="none" w:sz="0" w:space="0" w:color="auto"/>
                  </w:divBdr>
                  <w:divsChild>
                    <w:div w:id="18268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54905">
      <w:bodyDiv w:val="1"/>
      <w:marLeft w:val="0"/>
      <w:marRight w:val="0"/>
      <w:marTop w:val="0"/>
      <w:marBottom w:val="0"/>
      <w:divBdr>
        <w:top w:val="none" w:sz="0" w:space="0" w:color="auto"/>
        <w:left w:val="none" w:sz="0" w:space="0" w:color="auto"/>
        <w:bottom w:val="none" w:sz="0" w:space="0" w:color="auto"/>
        <w:right w:val="none" w:sz="0" w:space="0" w:color="auto"/>
      </w:divBdr>
    </w:div>
    <w:div w:id="332417518">
      <w:bodyDiv w:val="1"/>
      <w:marLeft w:val="0"/>
      <w:marRight w:val="0"/>
      <w:marTop w:val="0"/>
      <w:marBottom w:val="0"/>
      <w:divBdr>
        <w:top w:val="none" w:sz="0" w:space="0" w:color="auto"/>
        <w:left w:val="none" w:sz="0" w:space="0" w:color="auto"/>
        <w:bottom w:val="none" w:sz="0" w:space="0" w:color="auto"/>
        <w:right w:val="none" w:sz="0" w:space="0" w:color="auto"/>
      </w:divBdr>
    </w:div>
    <w:div w:id="357434963">
      <w:bodyDiv w:val="1"/>
      <w:marLeft w:val="0"/>
      <w:marRight w:val="0"/>
      <w:marTop w:val="0"/>
      <w:marBottom w:val="0"/>
      <w:divBdr>
        <w:top w:val="none" w:sz="0" w:space="0" w:color="auto"/>
        <w:left w:val="none" w:sz="0" w:space="0" w:color="auto"/>
        <w:bottom w:val="none" w:sz="0" w:space="0" w:color="auto"/>
        <w:right w:val="none" w:sz="0" w:space="0" w:color="auto"/>
      </w:divBdr>
      <w:divsChild>
        <w:div w:id="1108891591">
          <w:marLeft w:val="0"/>
          <w:marRight w:val="0"/>
          <w:marTop w:val="0"/>
          <w:marBottom w:val="0"/>
          <w:divBdr>
            <w:top w:val="none" w:sz="0" w:space="0" w:color="auto"/>
            <w:left w:val="none" w:sz="0" w:space="0" w:color="auto"/>
            <w:bottom w:val="none" w:sz="0" w:space="0" w:color="auto"/>
            <w:right w:val="none" w:sz="0" w:space="0" w:color="auto"/>
          </w:divBdr>
          <w:divsChild>
            <w:div w:id="646936910">
              <w:marLeft w:val="0"/>
              <w:marRight w:val="0"/>
              <w:marTop w:val="0"/>
              <w:marBottom w:val="0"/>
              <w:divBdr>
                <w:top w:val="none" w:sz="0" w:space="0" w:color="auto"/>
                <w:left w:val="none" w:sz="0" w:space="0" w:color="auto"/>
                <w:bottom w:val="none" w:sz="0" w:space="0" w:color="auto"/>
                <w:right w:val="none" w:sz="0" w:space="0" w:color="auto"/>
              </w:divBdr>
              <w:divsChild>
                <w:div w:id="9132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68480">
      <w:bodyDiv w:val="1"/>
      <w:marLeft w:val="0"/>
      <w:marRight w:val="0"/>
      <w:marTop w:val="0"/>
      <w:marBottom w:val="0"/>
      <w:divBdr>
        <w:top w:val="none" w:sz="0" w:space="0" w:color="auto"/>
        <w:left w:val="none" w:sz="0" w:space="0" w:color="auto"/>
        <w:bottom w:val="none" w:sz="0" w:space="0" w:color="auto"/>
        <w:right w:val="none" w:sz="0" w:space="0" w:color="auto"/>
      </w:divBdr>
    </w:div>
    <w:div w:id="406457382">
      <w:bodyDiv w:val="1"/>
      <w:marLeft w:val="0"/>
      <w:marRight w:val="0"/>
      <w:marTop w:val="0"/>
      <w:marBottom w:val="0"/>
      <w:divBdr>
        <w:top w:val="none" w:sz="0" w:space="0" w:color="auto"/>
        <w:left w:val="none" w:sz="0" w:space="0" w:color="auto"/>
        <w:bottom w:val="none" w:sz="0" w:space="0" w:color="auto"/>
        <w:right w:val="none" w:sz="0" w:space="0" w:color="auto"/>
      </w:divBdr>
    </w:div>
    <w:div w:id="415592079">
      <w:bodyDiv w:val="1"/>
      <w:marLeft w:val="0"/>
      <w:marRight w:val="0"/>
      <w:marTop w:val="0"/>
      <w:marBottom w:val="0"/>
      <w:divBdr>
        <w:top w:val="none" w:sz="0" w:space="0" w:color="auto"/>
        <w:left w:val="none" w:sz="0" w:space="0" w:color="auto"/>
        <w:bottom w:val="none" w:sz="0" w:space="0" w:color="auto"/>
        <w:right w:val="none" w:sz="0" w:space="0" w:color="auto"/>
      </w:divBdr>
      <w:divsChild>
        <w:div w:id="672489382">
          <w:marLeft w:val="0"/>
          <w:marRight w:val="0"/>
          <w:marTop w:val="0"/>
          <w:marBottom w:val="0"/>
          <w:divBdr>
            <w:top w:val="none" w:sz="0" w:space="0" w:color="auto"/>
            <w:left w:val="none" w:sz="0" w:space="0" w:color="auto"/>
            <w:bottom w:val="none" w:sz="0" w:space="0" w:color="auto"/>
            <w:right w:val="none" w:sz="0" w:space="0" w:color="auto"/>
          </w:divBdr>
          <w:divsChild>
            <w:div w:id="1646006691">
              <w:marLeft w:val="0"/>
              <w:marRight w:val="0"/>
              <w:marTop w:val="0"/>
              <w:marBottom w:val="0"/>
              <w:divBdr>
                <w:top w:val="none" w:sz="0" w:space="0" w:color="auto"/>
                <w:left w:val="none" w:sz="0" w:space="0" w:color="auto"/>
                <w:bottom w:val="none" w:sz="0" w:space="0" w:color="auto"/>
                <w:right w:val="none" w:sz="0" w:space="0" w:color="auto"/>
              </w:divBdr>
              <w:divsChild>
                <w:div w:id="330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8580">
      <w:bodyDiv w:val="1"/>
      <w:marLeft w:val="0"/>
      <w:marRight w:val="0"/>
      <w:marTop w:val="0"/>
      <w:marBottom w:val="0"/>
      <w:divBdr>
        <w:top w:val="none" w:sz="0" w:space="0" w:color="auto"/>
        <w:left w:val="none" w:sz="0" w:space="0" w:color="auto"/>
        <w:bottom w:val="none" w:sz="0" w:space="0" w:color="auto"/>
        <w:right w:val="none" w:sz="0" w:space="0" w:color="auto"/>
      </w:divBdr>
    </w:div>
    <w:div w:id="447623819">
      <w:bodyDiv w:val="1"/>
      <w:marLeft w:val="0"/>
      <w:marRight w:val="0"/>
      <w:marTop w:val="0"/>
      <w:marBottom w:val="0"/>
      <w:divBdr>
        <w:top w:val="none" w:sz="0" w:space="0" w:color="auto"/>
        <w:left w:val="none" w:sz="0" w:space="0" w:color="auto"/>
        <w:bottom w:val="none" w:sz="0" w:space="0" w:color="auto"/>
        <w:right w:val="none" w:sz="0" w:space="0" w:color="auto"/>
      </w:divBdr>
    </w:div>
    <w:div w:id="452479083">
      <w:bodyDiv w:val="1"/>
      <w:marLeft w:val="0"/>
      <w:marRight w:val="0"/>
      <w:marTop w:val="0"/>
      <w:marBottom w:val="0"/>
      <w:divBdr>
        <w:top w:val="none" w:sz="0" w:space="0" w:color="auto"/>
        <w:left w:val="none" w:sz="0" w:space="0" w:color="auto"/>
        <w:bottom w:val="none" w:sz="0" w:space="0" w:color="auto"/>
        <w:right w:val="none" w:sz="0" w:space="0" w:color="auto"/>
      </w:divBdr>
    </w:div>
    <w:div w:id="459961137">
      <w:bodyDiv w:val="1"/>
      <w:marLeft w:val="0"/>
      <w:marRight w:val="0"/>
      <w:marTop w:val="0"/>
      <w:marBottom w:val="0"/>
      <w:divBdr>
        <w:top w:val="none" w:sz="0" w:space="0" w:color="auto"/>
        <w:left w:val="none" w:sz="0" w:space="0" w:color="auto"/>
        <w:bottom w:val="none" w:sz="0" w:space="0" w:color="auto"/>
        <w:right w:val="none" w:sz="0" w:space="0" w:color="auto"/>
      </w:divBdr>
    </w:div>
    <w:div w:id="470711386">
      <w:bodyDiv w:val="1"/>
      <w:marLeft w:val="0"/>
      <w:marRight w:val="0"/>
      <w:marTop w:val="0"/>
      <w:marBottom w:val="0"/>
      <w:divBdr>
        <w:top w:val="none" w:sz="0" w:space="0" w:color="auto"/>
        <w:left w:val="none" w:sz="0" w:space="0" w:color="auto"/>
        <w:bottom w:val="none" w:sz="0" w:space="0" w:color="auto"/>
        <w:right w:val="none" w:sz="0" w:space="0" w:color="auto"/>
      </w:divBdr>
      <w:divsChild>
        <w:div w:id="1997496164">
          <w:marLeft w:val="0"/>
          <w:marRight w:val="0"/>
          <w:marTop w:val="0"/>
          <w:marBottom w:val="0"/>
          <w:divBdr>
            <w:top w:val="none" w:sz="0" w:space="0" w:color="auto"/>
            <w:left w:val="none" w:sz="0" w:space="0" w:color="auto"/>
            <w:bottom w:val="none" w:sz="0" w:space="0" w:color="auto"/>
            <w:right w:val="none" w:sz="0" w:space="0" w:color="auto"/>
          </w:divBdr>
          <w:divsChild>
            <w:div w:id="2008629469">
              <w:marLeft w:val="0"/>
              <w:marRight w:val="0"/>
              <w:marTop w:val="0"/>
              <w:marBottom w:val="0"/>
              <w:divBdr>
                <w:top w:val="none" w:sz="0" w:space="0" w:color="auto"/>
                <w:left w:val="none" w:sz="0" w:space="0" w:color="auto"/>
                <w:bottom w:val="none" w:sz="0" w:space="0" w:color="auto"/>
                <w:right w:val="none" w:sz="0" w:space="0" w:color="auto"/>
              </w:divBdr>
              <w:divsChild>
                <w:div w:id="1837377255">
                  <w:marLeft w:val="0"/>
                  <w:marRight w:val="0"/>
                  <w:marTop w:val="0"/>
                  <w:marBottom w:val="0"/>
                  <w:divBdr>
                    <w:top w:val="none" w:sz="0" w:space="0" w:color="auto"/>
                    <w:left w:val="none" w:sz="0" w:space="0" w:color="auto"/>
                    <w:bottom w:val="none" w:sz="0" w:space="0" w:color="auto"/>
                    <w:right w:val="none" w:sz="0" w:space="0" w:color="auto"/>
                  </w:divBdr>
                  <w:divsChild>
                    <w:div w:id="3577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01968">
      <w:bodyDiv w:val="1"/>
      <w:marLeft w:val="0"/>
      <w:marRight w:val="0"/>
      <w:marTop w:val="0"/>
      <w:marBottom w:val="0"/>
      <w:divBdr>
        <w:top w:val="none" w:sz="0" w:space="0" w:color="auto"/>
        <w:left w:val="none" w:sz="0" w:space="0" w:color="auto"/>
        <w:bottom w:val="none" w:sz="0" w:space="0" w:color="auto"/>
        <w:right w:val="none" w:sz="0" w:space="0" w:color="auto"/>
      </w:divBdr>
    </w:div>
    <w:div w:id="493372194">
      <w:bodyDiv w:val="1"/>
      <w:marLeft w:val="0"/>
      <w:marRight w:val="0"/>
      <w:marTop w:val="0"/>
      <w:marBottom w:val="0"/>
      <w:divBdr>
        <w:top w:val="none" w:sz="0" w:space="0" w:color="auto"/>
        <w:left w:val="none" w:sz="0" w:space="0" w:color="auto"/>
        <w:bottom w:val="none" w:sz="0" w:space="0" w:color="auto"/>
        <w:right w:val="none" w:sz="0" w:space="0" w:color="auto"/>
      </w:divBdr>
      <w:divsChild>
        <w:div w:id="1327514182">
          <w:marLeft w:val="0"/>
          <w:marRight w:val="0"/>
          <w:marTop w:val="0"/>
          <w:marBottom w:val="0"/>
          <w:divBdr>
            <w:top w:val="none" w:sz="0" w:space="0" w:color="auto"/>
            <w:left w:val="none" w:sz="0" w:space="0" w:color="auto"/>
            <w:bottom w:val="none" w:sz="0" w:space="0" w:color="auto"/>
            <w:right w:val="none" w:sz="0" w:space="0" w:color="auto"/>
          </w:divBdr>
          <w:divsChild>
            <w:div w:id="51120391">
              <w:marLeft w:val="0"/>
              <w:marRight w:val="0"/>
              <w:marTop w:val="0"/>
              <w:marBottom w:val="0"/>
              <w:divBdr>
                <w:top w:val="none" w:sz="0" w:space="0" w:color="auto"/>
                <w:left w:val="none" w:sz="0" w:space="0" w:color="auto"/>
                <w:bottom w:val="none" w:sz="0" w:space="0" w:color="auto"/>
                <w:right w:val="none" w:sz="0" w:space="0" w:color="auto"/>
              </w:divBdr>
              <w:divsChild>
                <w:div w:id="1826168704">
                  <w:marLeft w:val="0"/>
                  <w:marRight w:val="0"/>
                  <w:marTop w:val="0"/>
                  <w:marBottom w:val="0"/>
                  <w:divBdr>
                    <w:top w:val="none" w:sz="0" w:space="0" w:color="auto"/>
                    <w:left w:val="none" w:sz="0" w:space="0" w:color="auto"/>
                    <w:bottom w:val="none" w:sz="0" w:space="0" w:color="auto"/>
                    <w:right w:val="none" w:sz="0" w:space="0" w:color="auto"/>
                  </w:divBdr>
                  <w:divsChild>
                    <w:div w:id="2011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7425">
      <w:bodyDiv w:val="1"/>
      <w:marLeft w:val="0"/>
      <w:marRight w:val="0"/>
      <w:marTop w:val="0"/>
      <w:marBottom w:val="0"/>
      <w:divBdr>
        <w:top w:val="none" w:sz="0" w:space="0" w:color="auto"/>
        <w:left w:val="none" w:sz="0" w:space="0" w:color="auto"/>
        <w:bottom w:val="none" w:sz="0" w:space="0" w:color="auto"/>
        <w:right w:val="none" w:sz="0" w:space="0" w:color="auto"/>
      </w:divBdr>
    </w:div>
    <w:div w:id="503471579">
      <w:bodyDiv w:val="1"/>
      <w:marLeft w:val="0"/>
      <w:marRight w:val="0"/>
      <w:marTop w:val="0"/>
      <w:marBottom w:val="0"/>
      <w:divBdr>
        <w:top w:val="none" w:sz="0" w:space="0" w:color="auto"/>
        <w:left w:val="none" w:sz="0" w:space="0" w:color="auto"/>
        <w:bottom w:val="none" w:sz="0" w:space="0" w:color="auto"/>
        <w:right w:val="none" w:sz="0" w:space="0" w:color="auto"/>
      </w:divBdr>
    </w:div>
    <w:div w:id="514610400">
      <w:bodyDiv w:val="1"/>
      <w:marLeft w:val="0"/>
      <w:marRight w:val="0"/>
      <w:marTop w:val="0"/>
      <w:marBottom w:val="0"/>
      <w:divBdr>
        <w:top w:val="none" w:sz="0" w:space="0" w:color="auto"/>
        <w:left w:val="none" w:sz="0" w:space="0" w:color="auto"/>
        <w:bottom w:val="none" w:sz="0" w:space="0" w:color="auto"/>
        <w:right w:val="none" w:sz="0" w:space="0" w:color="auto"/>
      </w:divBdr>
    </w:div>
    <w:div w:id="530654703">
      <w:bodyDiv w:val="1"/>
      <w:marLeft w:val="0"/>
      <w:marRight w:val="0"/>
      <w:marTop w:val="0"/>
      <w:marBottom w:val="0"/>
      <w:divBdr>
        <w:top w:val="none" w:sz="0" w:space="0" w:color="auto"/>
        <w:left w:val="none" w:sz="0" w:space="0" w:color="auto"/>
        <w:bottom w:val="none" w:sz="0" w:space="0" w:color="auto"/>
        <w:right w:val="none" w:sz="0" w:space="0" w:color="auto"/>
      </w:divBdr>
    </w:div>
    <w:div w:id="538905877">
      <w:bodyDiv w:val="1"/>
      <w:marLeft w:val="0"/>
      <w:marRight w:val="0"/>
      <w:marTop w:val="0"/>
      <w:marBottom w:val="0"/>
      <w:divBdr>
        <w:top w:val="none" w:sz="0" w:space="0" w:color="auto"/>
        <w:left w:val="none" w:sz="0" w:space="0" w:color="auto"/>
        <w:bottom w:val="none" w:sz="0" w:space="0" w:color="auto"/>
        <w:right w:val="none" w:sz="0" w:space="0" w:color="auto"/>
      </w:divBdr>
    </w:div>
    <w:div w:id="551959746">
      <w:bodyDiv w:val="1"/>
      <w:marLeft w:val="0"/>
      <w:marRight w:val="0"/>
      <w:marTop w:val="0"/>
      <w:marBottom w:val="0"/>
      <w:divBdr>
        <w:top w:val="none" w:sz="0" w:space="0" w:color="auto"/>
        <w:left w:val="none" w:sz="0" w:space="0" w:color="auto"/>
        <w:bottom w:val="none" w:sz="0" w:space="0" w:color="auto"/>
        <w:right w:val="none" w:sz="0" w:space="0" w:color="auto"/>
      </w:divBdr>
      <w:divsChild>
        <w:div w:id="962612434">
          <w:marLeft w:val="0"/>
          <w:marRight w:val="0"/>
          <w:marTop w:val="0"/>
          <w:marBottom w:val="0"/>
          <w:divBdr>
            <w:top w:val="none" w:sz="0" w:space="0" w:color="auto"/>
            <w:left w:val="none" w:sz="0" w:space="0" w:color="auto"/>
            <w:bottom w:val="none" w:sz="0" w:space="0" w:color="auto"/>
            <w:right w:val="none" w:sz="0" w:space="0" w:color="auto"/>
          </w:divBdr>
          <w:divsChild>
            <w:div w:id="1101145966">
              <w:marLeft w:val="0"/>
              <w:marRight w:val="0"/>
              <w:marTop w:val="0"/>
              <w:marBottom w:val="0"/>
              <w:divBdr>
                <w:top w:val="none" w:sz="0" w:space="0" w:color="auto"/>
                <w:left w:val="none" w:sz="0" w:space="0" w:color="auto"/>
                <w:bottom w:val="none" w:sz="0" w:space="0" w:color="auto"/>
                <w:right w:val="none" w:sz="0" w:space="0" w:color="auto"/>
              </w:divBdr>
              <w:divsChild>
                <w:div w:id="248735820">
                  <w:marLeft w:val="0"/>
                  <w:marRight w:val="0"/>
                  <w:marTop w:val="0"/>
                  <w:marBottom w:val="0"/>
                  <w:divBdr>
                    <w:top w:val="none" w:sz="0" w:space="0" w:color="auto"/>
                    <w:left w:val="none" w:sz="0" w:space="0" w:color="auto"/>
                    <w:bottom w:val="none" w:sz="0" w:space="0" w:color="auto"/>
                    <w:right w:val="none" w:sz="0" w:space="0" w:color="auto"/>
                  </w:divBdr>
                  <w:divsChild>
                    <w:div w:id="1631126438">
                      <w:marLeft w:val="0"/>
                      <w:marRight w:val="0"/>
                      <w:marTop w:val="0"/>
                      <w:marBottom w:val="0"/>
                      <w:divBdr>
                        <w:top w:val="none" w:sz="0" w:space="0" w:color="auto"/>
                        <w:left w:val="none" w:sz="0" w:space="0" w:color="auto"/>
                        <w:bottom w:val="none" w:sz="0" w:space="0" w:color="auto"/>
                        <w:right w:val="none" w:sz="0" w:space="0" w:color="auto"/>
                      </w:divBdr>
                    </w:div>
                  </w:divsChild>
                </w:div>
                <w:div w:id="1357074636">
                  <w:marLeft w:val="0"/>
                  <w:marRight w:val="0"/>
                  <w:marTop w:val="0"/>
                  <w:marBottom w:val="0"/>
                  <w:divBdr>
                    <w:top w:val="none" w:sz="0" w:space="0" w:color="auto"/>
                    <w:left w:val="none" w:sz="0" w:space="0" w:color="auto"/>
                    <w:bottom w:val="none" w:sz="0" w:space="0" w:color="auto"/>
                    <w:right w:val="none" w:sz="0" w:space="0" w:color="auto"/>
                  </w:divBdr>
                  <w:divsChild>
                    <w:div w:id="1302032942">
                      <w:marLeft w:val="0"/>
                      <w:marRight w:val="0"/>
                      <w:marTop w:val="0"/>
                      <w:marBottom w:val="0"/>
                      <w:divBdr>
                        <w:top w:val="none" w:sz="0" w:space="0" w:color="auto"/>
                        <w:left w:val="none" w:sz="0" w:space="0" w:color="auto"/>
                        <w:bottom w:val="none" w:sz="0" w:space="0" w:color="auto"/>
                        <w:right w:val="none" w:sz="0" w:space="0" w:color="auto"/>
                      </w:divBdr>
                    </w:div>
                    <w:div w:id="19716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5862">
      <w:bodyDiv w:val="1"/>
      <w:marLeft w:val="0"/>
      <w:marRight w:val="0"/>
      <w:marTop w:val="0"/>
      <w:marBottom w:val="0"/>
      <w:divBdr>
        <w:top w:val="none" w:sz="0" w:space="0" w:color="auto"/>
        <w:left w:val="none" w:sz="0" w:space="0" w:color="auto"/>
        <w:bottom w:val="none" w:sz="0" w:space="0" w:color="auto"/>
        <w:right w:val="none" w:sz="0" w:space="0" w:color="auto"/>
      </w:divBdr>
    </w:div>
    <w:div w:id="611984634">
      <w:bodyDiv w:val="1"/>
      <w:marLeft w:val="0"/>
      <w:marRight w:val="0"/>
      <w:marTop w:val="0"/>
      <w:marBottom w:val="0"/>
      <w:divBdr>
        <w:top w:val="none" w:sz="0" w:space="0" w:color="auto"/>
        <w:left w:val="none" w:sz="0" w:space="0" w:color="auto"/>
        <w:bottom w:val="none" w:sz="0" w:space="0" w:color="auto"/>
        <w:right w:val="none" w:sz="0" w:space="0" w:color="auto"/>
      </w:divBdr>
    </w:div>
    <w:div w:id="622733404">
      <w:bodyDiv w:val="1"/>
      <w:marLeft w:val="0"/>
      <w:marRight w:val="0"/>
      <w:marTop w:val="0"/>
      <w:marBottom w:val="0"/>
      <w:divBdr>
        <w:top w:val="none" w:sz="0" w:space="0" w:color="auto"/>
        <w:left w:val="none" w:sz="0" w:space="0" w:color="auto"/>
        <w:bottom w:val="none" w:sz="0" w:space="0" w:color="auto"/>
        <w:right w:val="none" w:sz="0" w:space="0" w:color="auto"/>
      </w:divBdr>
    </w:div>
    <w:div w:id="641620702">
      <w:bodyDiv w:val="1"/>
      <w:marLeft w:val="0"/>
      <w:marRight w:val="0"/>
      <w:marTop w:val="0"/>
      <w:marBottom w:val="0"/>
      <w:divBdr>
        <w:top w:val="none" w:sz="0" w:space="0" w:color="auto"/>
        <w:left w:val="none" w:sz="0" w:space="0" w:color="auto"/>
        <w:bottom w:val="none" w:sz="0" w:space="0" w:color="auto"/>
        <w:right w:val="none" w:sz="0" w:space="0" w:color="auto"/>
      </w:divBdr>
    </w:div>
    <w:div w:id="643854832">
      <w:bodyDiv w:val="1"/>
      <w:marLeft w:val="0"/>
      <w:marRight w:val="0"/>
      <w:marTop w:val="0"/>
      <w:marBottom w:val="0"/>
      <w:divBdr>
        <w:top w:val="none" w:sz="0" w:space="0" w:color="auto"/>
        <w:left w:val="none" w:sz="0" w:space="0" w:color="auto"/>
        <w:bottom w:val="none" w:sz="0" w:space="0" w:color="auto"/>
        <w:right w:val="none" w:sz="0" w:space="0" w:color="auto"/>
      </w:divBdr>
    </w:div>
    <w:div w:id="651442909">
      <w:bodyDiv w:val="1"/>
      <w:marLeft w:val="0"/>
      <w:marRight w:val="0"/>
      <w:marTop w:val="0"/>
      <w:marBottom w:val="0"/>
      <w:divBdr>
        <w:top w:val="none" w:sz="0" w:space="0" w:color="auto"/>
        <w:left w:val="none" w:sz="0" w:space="0" w:color="auto"/>
        <w:bottom w:val="none" w:sz="0" w:space="0" w:color="auto"/>
        <w:right w:val="none" w:sz="0" w:space="0" w:color="auto"/>
      </w:divBdr>
      <w:divsChild>
        <w:div w:id="679047537">
          <w:marLeft w:val="0"/>
          <w:marRight w:val="0"/>
          <w:marTop w:val="0"/>
          <w:marBottom w:val="0"/>
          <w:divBdr>
            <w:top w:val="none" w:sz="0" w:space="0" w:color="auto"/>
            <w:left w:val="none" w:sz="0" w:space="0" w:color="auto"/>
            <w:bottom w:val="none" w:sz="0" w:space="0" w:color="auto"/>
            <w:right w:val="none" w:sz="0" w:space="0" w:color="auto"/>
          </w:divBdr>
        </w:div>
      </w:divsChild>
    </w:div>
    <w:div w:id="661740739">
      <w:bodyDiv w:val="1"/>
      <w:marLeft w:val="0"/>
      <w:marRight w:val="0"/>
      <w:marTop w:val="0"/>
      <w:marBottom w:val="0"/>
      <w:divBdr>
        <w:top w:val="none" w:sz="0" w:space="0" w:color="auto"/>
        <w:left w:val="none" w:sz="0" w:space="0" w:color="auto"/>
        <w:bottom w:val="none" w:sz="0" w:space="0" w:color="auto"/>
        <w:right w:val="none" w:sz="0" w:space="0" w:color="auto"/>
      </w:divBdr>
    </w:div>
    <w:div w:id="677925138">
      <w:bodyDiv w:val="1"/>
      <w:marLeft w:val="0"/>
      <w:marRight w:val="0"/>
      <w:marTop w:val="0"/>
      <w:marBottom w:val="0"/>
      <w:divBdr>
        <w:top w:val="none" w:sz="0" w:space="0" w:color="auto"/>
        <w:left w:val="none" w:sz="0" w:space="0" w:color="auto"/>
        <w:bottom w:val="none" w:sz="0" w:space="0" w:color="auto"/>
        <w:right w:val="none" w:sz="0" w:space="0" w:color="auto"/>
      </w:divBdr>
    </w:div>
    <w:div w:id="695891290">
      <w:bodyDiv w:val="1"/>
      <w:marLeft w:val="0"/>
      <w:marRight w:val="0"/>
      <w:marTop w:val="0"/>
      <w:marBottom w:val="0"/>
      <w:divBdr>
        <w:top w:val="none" w:sz="0" w:space="0" w:color="auto"/>
        <w:left w:val="none" w:sz="0" w:space="0" w:color="auto"/>
        <w:bottom w:val="none" w:sz="0" w:space="0" w:color="auto"/>
        <w:right w:val="none" w:sz="0" w:space="0" w:color="auto"/>
      </w:divBdr>
    </w:div>
    <w:div w:id="715351796">
      <w:bodyDiv w:val="1"/>
      <w:marLeft w:val="0"/>
      <w:marRight w:val="0"/>
      <w:marTop w:val="0"/>
      <w:marBottom w:val="0"/>
      <w:divBdr>
        <w:top w:val="none" w:sz="0" w:space="0" w:color="auto"/>
        <w:left w:val="none" w:sz="0" w:space="0" w:color="auto"/>
        <w:bottom w:val="none" w:sz="0" w:space="0" w:color="auto"/>
        <w:right w:val="none" w:sz="0" w:space="0" w:color="auto"/>
      </w:divBdr>
    </w:div>
    <w:div w:id="731928250">
      <w:bodyDiv w:val="1"/>
      <w:marLeft w:val="0"/>
      <w:marRight w:val="0"/>
      <w:marTop w:val="0"/>
      <w:marBottom w:val="0"/>
      <w:divBdr>
        <w:top w:val="none" w:sz="0" w:space="0" w:color="auto"/>
        <w:left w:val="none" w:sz="0" w:space="0" w:color="auto"/>
        <w:bottom w:val="none" w:sz="0" w:space="0" w:color="auto"/>
        <w:right w:val="none" w:sz="0" w:space="0" w:color="auto"/>
      </w:divBdr>
    </w:div>
    <w:div w:id="741374628">
      <w:bodyDiv w:val="1"/>
      <w:marLeft w:val="0"/>
      <w:marRight w:val="0"/>
      <w:marTop w:val="0"/>
      <w:marBottom w:val="0"/>
      <w:divBdr>
        <w:top w:val="none" w:sz="0" w:space="0" w:color="auto"/>
        <w:left w:val="none" w:sz="0" w:space="0" w:color="auto"/>
        <w:bottom w:val="none" w:sz="0" w:space="0" w:color="auto"/>
        <w:right w:val="none" w:sz="0" w:space="0" w:color="auto"/>
      </w:divBdr>
    </w:div>
    <w:div w:id="756632131">
      <w:bodyDiv w:val="1"/>
      <w:marLeft w:val="0"/>
      <w:marRight w:val="0"/>
      <w:marTop w:val="0"/>
      <w:marBottom w:val="0"/>
      <w:divBdr>
        <w:top w:val="none" w:sz="0" w:space="0" w:color="auto"/>
        <w:left w:val="none" w:sz="0" w:space="0" w:color="auto"/>
        <w:bottom w:val="none" w:sz="0" w:space="0" w:color="auto"/>
        <w:right w:val="none" w:sz="0" w:space="0" w:color="auto"/>
      </w:divBdr>
      <w:divsChild>
        <w:div w:id="434793624">
          <w:marLeft w:val="0"/>
          <w:marRight w:val="0"/>
          <w:marTop w:val="0"/>
          <w:marBottom w:val="0"/>
          <w:divBdr>
            <w:top w:val="none" w:sz="0" w:space="0" w:color="auto"/>
            <w:left w:val="none" w:sz="0" w:space="0" w:color="auto"/>
            <w:bottom w:val="none" w:sz="0" w:space="0" w:color="auto"/>
            <w:right w:val="none" w:sz="0" w:space="0" w:color="auto"/>
          </w:divBdr>
          <w:divsChild>
            <w:div w:id="2145346554">
              <w:marLeft w:val="0"/>
              <w:marRight w:val="0"/>
              <w:marTop w:val="0"/>
              <w:marBottom w:val="0"/>
              <w:divBdr>
                <w:top w:val="none" w:sz="0" w:space="0" w:color="auto"/>
                <w:left w:val="none" w:sz="0" w:space="0" w:color="auto"/>
                <w:bottom w:val="none" w:sz="0" w:space="0" w:color="auto"/>
                <w:right w:val="none" w:sz="0" w:space="0" w:color="auto"/>
              </w:divBdr>
              <w:divsChild>
                <w:div w:id="10252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3457">
      <w:bodyDiv w:val="1"/>
      <w:marLeft w:val="0"/>
      <w:marRight w:val="0"/>
      <w:marTop w:val="0"/>
      <w:marBottom w:val="0"/>
      <w:divBdr>
        <w:top w:val="none" w:sz="0" w:space="0" w:color="auto"/>
        <w:left w:val="none" w:sz="0" w:space="0" w:color="auto"/>
        <w:bottom w:val="none" w:sz="0" w:space="0" w:color="auto"/>
        <w:right w:val="none" w:sz="0" w:space="0" w:color="auto"/>
      </w:divBdr>
    </w:div>
    <w:div w:id="808134735">
      <w:bodyDiv w:val="1"/>
      <w:marLeft w:val="0"/>
      <w:marRight w:val="0"/>
      <w:marTop w:val="0"/>
      <w:marBottom w:val="0"/>
      <w:divBdr>
        <w:top w:val="none" w:sz="0" w:space="0" w:color="auto"/>
        <w:left w:val="none" w:sz="0" w:space="0" w:color="auto"/>
        <w:bottom w:val="none" w:sz="0" w:space="0" w:color="auto"/>
        <w:right w:val="none" w:sz="0" w:space="0" w:color="auto"/>
      </w:divBdr>
    </w:div>
    <w:div w:id="809514298">
      <w:bodyDiv w:val="1"/>
      <w:marLeft w:val="0"/>
      <w:marRight w:val="0"/>
      <w:marTop w:val="0"/>
      <w:marBottom w:val="0"/>
      <w:divBdr>
        <w:top w:val="none" w:sz="0" w:space="0" w:color="auto"/>
        <w:left w:val="none" w:sz="0" w:space="0" w:color="auto"/>
        <w:bottom w:val="none" w:sz="0" w:space="0" w:color="auto"/>
        <w:right w:val="none" w:sz="0" w:space="0" w:color="auto"/>
      </w:divBdr>
    </w:div>
    <w:div w:id="820007074">
      <w:bodyDiv w:val="1"/>
      <w:marLeft w:val="0"/>
      <w:marRight w:val="0"/>
      <w:marTop w:val="0"/>
      <w:marBottom w:val="0"/>
      <w:divBdr>
        <w:top w:val="none" w:sz="0" w:space="0" w:color="auto"/>
        <w:left w:val="none" w:sz="0" w:space="0" w:color="auto"/>
        <w:bottom w:val="none" w:sz="0" w:space="0" w:color="auto"/>
        <w:right w:val="none" w:sz="0" w:space="0" w:color="auto"/>
      </w:divBdr>
      <w:divsChild>
        <w:div w:id="1898664540">
          <w:marLeft w:val="0"/>
          <w:marRight w:val="0"/>
          <w:marTop w:val="0"/>
          <w:marBottom w:val="0"/>
          <w:divBdr>
            <w:top w:val="none" w:sz="0" w:space="0" w:color="auto"/>
            <w:left w:val="none" w:sz="0" w:space="0" w:color="auto"/>
            <w:bottom w:val="none" w:sz="0" w:space="0" w:color="auto"/>
            <w:right w:val="none" w:sz="0" w:space="0" w:color="auto"/>
          </w:divBdr>
          <w:divsChild>
            <w:div w:id="1536501238">
              <w:marLeft w:val="0"/>
              <w:marRight w:val="0"/>
              <w:marTop w:val="0"/>
              <w:marBottom w:val="0"/>
              <w:divBdr>
                <w:top w:val="none" w:sz="0" w:space="0" w:color="auto"/>
                <w:left w:val="none" w:sz="0" w:space="0" w:color="auto"/>
                <w:bottom w:val="none" w:sz="0" w:space="0" w:color="auto"/>
                <w:right w:val="none" w:sz="0" w:space="0" w:color="auto"/>
              </w:divBdr>
              <w:divsChild>
                <w:div w:id="1584801573">
                  <w:marLeft w:val="0"/>
                  <w:marRight w:val="0"/>
                  <w:marTop w:val="0"/>
                  <w:marBottom w:val="0"/>
                  <w:divBdr>
                    <w:top w:val="none" w:sz="0" w:space="0" w:color="auto"/>
                    <w:left w:val="none" w:sz="0" w:space="0" w:color="auto"/>
                    <w:bottom w:val="none" w:sz="0" w:space="0" w:color="auto"/>
                    <w:right w:val="none" w:sz="0" w:space="0" w:color="auto"/>
                  </w:divBdr>
                  <w:divsChild>
                    <w:div w:id="1132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5806">
      <w:bodyDiv w:val="1"/>
      <w:marLeft w:val="0"/>
      <w:marRight w:val="0"/>
      <w:marTop w:val="0"/>
      <w:marBottom w:val="0"/>
      <w:divBdr>
        <w:top w:val="none" w:sz="0" w:space="0" w:color="auto"/>
        <w:left w:val="none" w:sz="0" w:space="0" w:color="auto"/>
        <w:bottom w:val="none" w:sz="0" w:space="0" w:color="auto"/>
        <w:right w:val="none" w:sz="0" w:space="0" w:color="auto"/>
      </w:divBdr>
    </w:div>
    <w:div w:id="867643855">
      <w:bodyDiv w:val="1"/>
      <w:marLeft w:val="0"/>
      <w:marRight w:val="0"/>
      <w:marTop w:val="0"/>
      <w:marBottom w:val="0"/>
      <w:divBdr>
        <w:top w:val="none" w:sz="0" w:space="0" w:color="auto"/>
        <w:left w:val="none" w:sz="0" w:space="0" w:color="auto"/>
        <w:bottom w:val="none" w:sz="0" w:space="0" w:color="auto"/>
        <w:right w:val="none" w:sz="0" w:space="0" w:color="auto"/>
      </w:divBdr>
    </w:div>
    <w:div w:id="873467908">
      <w:bodyDiv w:val="1"/>
      <w:marLeft w:val="0"/>
      <w:marRight w:val="0"/>
      <w:marTop w:val="0"/>
      <w:marBottom w:val="0"/>
      <w:divBdr>
        <w:top w:val="none" w:sz="0" w:space="0" w:color="auto"/>
        <w:left w:val="none" w:sz="0" w:space="0" w:color="auto"/>
        <w:bottom w:val="none" w:sz="0" w:space="0" w:color="auto"/>
        <w:right w:val="none" w:sz="0" w:space="0" w:color="auto"/>
      </w:divBdr>
    </w:div>
    <w:div w:id="873929273">
      <w:bodyDiv w:val="1"/>
      <w:marLeft w:val="0"/>
      <w:marRight w:val="0"/>
      <w:marTop w:val="0"/>
      <w:marBottom w:val="0"/>
      <w:divBdr>
        <w:top w:val="none" w:sz="0" w:space="0" w:color="auto"/>
        <w:left w:val="none" w:sz="0" w:space="0" w:color="auto"/>
        <w:bottom w:val="none" w:sz="0" w:space="0" w:color="auto"/>
        <w:right w:val="none" w:sz="0" w:space="0" w:color="auto"/>
      </w:divBdr>
    </w:div>
    <w:div w:id="875047431">
      <w:bodyDiv w:val="1"/>
      <w:marLeft w:val="0"/>
      <w:marRight w:val="0"/>
      <w:marTop w:val="0"/>
      <w:marBottom w:val="0"/>
      <w:divBdr>
        <w:top w:val="none" w:sz="0" w:space="0" w:color="auto"/>
        <w:left w:val="none" w:sz="0" w:space="0" w:color="auto"/>
        <w:bottom w:val="none" w:sz="0" w:space="0" w:color="auto"/>
        <w:right w:val="none" w:sz="0" w:space="0" w:color="auto"/>
      </w:divBdr>
    </w:div>
    <w:div w:id="881022607">
      <w:bodyDiv w:val="1"/>
      <w:marLeft w:val="0"/>
      <w:marRight w:val="0"/>
      <w:marTop w:val="0"/>
      <w:marBottom w:val="0"/>
      <w:divBdr>
        <w:top w:val="none" w:sz="0" w:space="0" w:color="auto"/>
        <w:left w:val="none" w:sz="0" w:space="0" w:color="auto"/>
        <w:bottom w:val="none" w:sz="0" w:space="0" w:color="auto"/>
        <w:right w:val="none" w:sz="0" w:space="0" w:color="auto"/>
      </w:divBdr>
    </w:div>
    <w:div w:id="898634613">
      <w:bodyDiv w:val="1"/>
      <w:marLeft w:val="0"/>
      <w:marRight w:val="0"/>
      <w:marTop w:val="0"/>
      <w:marBottom w:val="0"/>
      <w:divBdr>
        <w:top w:val="none" w:sz="0" w:space="0" w:color="auto"/>
        <w:left w:val="none" w:sz="0" w:space="0" w:color="auto"/>
        <w:bottom w:val="none" w:sz="0" w:space="0" w:color="auto"/>
        <w:right w:val="none" w:sz="0" w:space="0" w:color="auto"/>
      </w:divBdr>
      <w:divsChild>
        <w:div w:id="482353172">
          <w:marLeft w:val="0"/>
          <w:marRight w:val="0"/>
          <w:marTop w:val="0"/>
          <w:marBottom w:val="0"/>
          <w:divBdr>
            <w:top w:val="none" w:sz="0" w:space="0" w:color="auto"/>
            <w:left w:val="none" w:sz="0" w:space="0" w:color="auto"/>
            <w:bottom w:val="none" w:sz="0" w:space="0" w:color="auto"/>
            <w:right w:val="none" w:sz="0" w:space="0" w:color="auto"/>
          </w:divBdr>
          <w:divsChild>
            <w:div w:id="1079982155">
              <w:marLeft w:val="0"/>
              <w:marRight w:val="0"/>
              <w:marTop w:val="0"/>
              <w:marBottom w:val="0"/>
              <w:divBdr>
                <w:top w:val="none" w:sz="0" w:space="0" w:color="auto"/>
                <w:left w:val="none" w:sz="0" w:space="0" w:color="auto"/>
                <w:bottom w:val="none" w:sz="0" w:space="0" w:color="auto"/>
                <w:right w:val="none" w:sz="0" w:space="0" w:color="auto"/>
              </w:divBdr>
              <w:divsChild>
                <w:div w:id="1348094316">
                  <w:marLeft w:val="0"/>
                  <w:marRight w:val="0"/>
                  <w:marTop w:val="0"/>
                  <w:marBottom w:val="0"/>
                  <w:divBdr>
                    <w:top w:val="none" w:sz="0" w:space="0" w:color="auto"/>
                    <w:left w:val="none" w:sz="0" w:space="0" w:color="auto"/>
                    <w:bottom w:val="none" w:sz="0" w:space="0" w:color="auto"/>
                    <w:right w:val="none" w:sz="0" w:space="0" w:color="auto"/>
                  </w:divBdr>
                  <w:divsChild>
                    <w:div w:id="7540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0358">
      <w:bodyDiv w:val="1"/>
      <w:marLeft w:val="0"/>
      <w:marRight w:val="0"/>
      <w:marTop w:val="0"/>
      <w:marBottom w:val="0"/>
      <w:divBdr>
        <w:top w:val="none" w:sz="0" w:space="0" w:color="auto"/>
        <w:left w:val="none" w:sz="0" w:space="0" w:color="auto"/>
        <w:bottom w:val="none" w:sz="0" w:space="0" w:color="auto"/>
        <w:right w:val="none" w:sz="0" w:space="0" w:color="auto"/>
      </w:divBdr>
    </w:div>
    <w:div w:id="943810008">
      <w:bodyDiv w:val="1"/>
      <w:marLeft w:val="0"/>
      <w:marRight w:val="0"/>
      <w:marTop w:val="0"/>
      <w:marBottom w:val="0"/>
      <w:divBdr>
        <w:top w:val="none" w:sz="0" w:space="0" w:color="auto"/>
        <w:left w:val="none" w:sz="0" w:space="0" w:color="auto"/>
        <w:bottom w:val="none" w:sz="0" w:space="0" w:color="auto"/>
        <w:right w:val="none" w:sz="0" w:space="0" w:color="auto"/>
      </w:divBdr>
    </w:div>
    <w:div w:id="966664122">
      <w:bodyDiv w:val="1"/>
      <w:marLeft w:val="0"/>
      <w:marRight w:val="0"/>
      <w:marTop w:val="0"/>
      <w:marBottom w:val="0"/>
      <w:divBdr>
        <w:top w:val="none" w:sz="0" w:space="0" w:color="auto"/>
        <w:left w:val="none" w:sz="0" w:space="0" w:color="auto"/>
        <w:bottom w:val="none" w:sz="0" w:space="0" w:color="auto"/>
        <w:right w:val="none" w:sz="0" w:space="0" w:color="auto"/>
      </w:divBdr>
    </w:div>
    <w:div w:id="990986605">
      <w:bodyDiv w:val="1"/>
      <w:marLeft w:val="0"/>
      <w:marRight w:val="0"/>
      <w:marTop w:val="0"/>
      <w:marBottom w:val="0"/>
      <w:divBdr>
        <w:top w:val="none" w:sz="0" w:space="0" w:color="auto"/>
        <w:left w:val="none" w:sz="0" w:space="0" w:color="auto"/>
        <w:bottom w:val="none" w:sz="0" w:space="0" w:color="auto"/>
        <w:right w:val="none" w:sz="0" w:space="0" w:color="auto"/>
      </w:divBdr>
      <w:divsChild>
        <w:div w:id="1472408207">
          <w:marLeft w:val="0"/>
          <w:marRight w:val="0"/>
          <w:marTop w:val="0"/>
          <w:marBottom w:val="0"/>
          <w:divBdr>
            <w:top w:val="none" w:sz="0" w:space="0" w:color="auto"/>
            <w:left w:val="none" w:sz="0" w:space="0" w:color="auto"/>
            <w:bottom w:val="none" w:sz="0" w:space="0" w:color="auto"/>
            <w:right w:val="none" w:sz="0" w:space="0" w:color="auto"/>
          </w:divBdr>
          <w:divsChild>
            <w:div w:id="224265866">
              <w:marLeft w:val="0"/>
              <w:marRight w:val="0"/>
              <w:marTop w:val="0"/>
              <w:marBottom w:val="0"/>
              <w:divBdr>
                <w:top w:val="none" w:sz="0" w:space="0" w:color="auto"/>
                <w:left w:val="none" w:sz="0" w:space="0" w:color="auto"/>
                <w:bottom w:val="none" w:sz="0" w:space="0" w:color="auto"/>
                <w:right w:val="none" w:sz="0" w:space="0" w:color="auto"/>
              </w:divBdr>
              <w:divsChild>
                <w:div w:id="2046909353">
                  <w:marLeft w:val="0"/>
                  <w:marRight w:val="0"/>
                  <w:marTop w:val="0"/>
                  <w:marBottom w:val="0"/>
                  <w:divBdr>
                    <w:top w:val="none" w:sz="0" w:space="0" w:color="auto"/>
                    <w:left w:val="none" w:sz="0" w:space="0" w:color="auto"/>
                    <w:bottom w:val="none" w:sz="0" w:space="0" w:color="auto"/>
                    <w:right w:val="none" w:sz="0" w:space="0" w:color="auto"/>
                  </w:divBdr>
                  <w:divsChild>
                    <w:div w:id="7232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2551">
      <w:bodyDiv w:val="1"/>
      <w:marLeft w:val="0"/>
      <w:marRight w:val="0"/>
      <w:marTop w:val="0"/>
      <w:marBottom w:val="0"/>
      <w:divBdr>
        <w:top w:val="none" w:sz="0" w:space="0" w:color="auto"/>
        <w:left w:val="none" w:sz="0" w:space="0" w:color="auto"/>
        <w:bottom w:val="none" w:sz="0" w:space="0" w:color="auto"/>
        <w:right w:val="none" w:sz="0" w:space="0" w:color="auto"/>
      </w:divBdr>
    </w:div>
    <w:div w:id="1059091422">
      <w:bodyDiv w:val="1"/>
      <w:marLeft w:val="0"/>
      <w:marRight w:val="0"/>
      <w:marTop w:val="0"/>
      <w:marBottom w:val="0"/>
      <w:divBdr>
        <w:top w:val="none" w:sz="0" w:space="0" w:color="auto"/>
        <w:left w:val="none" w:sz="0" w:space="0" w:color="auto"/>
        <w:bottom w:val="none" w:sz="0" w:space="0" w:color="auto"/>
        <w:right w:val="none" w:sz="0" w:space="0" w:color="auto"/>
      </w:divBdr>
    </w:div>
    <w:div w:id="1103575589">
      <w:bodyDiv w:val="1"/>
      <w:marLeft w:val="0"/>
      <w:marRight w:val="0"/>
      <w:marTop w:val="0"/>
      <w:marBottom w:val="0"/>
      <w:divBdr>
        <w:top w:val="none" w:sz="0" w:space="0" w:color="auto"/>
        <w:left w:val="none" w:sz="0" w:space="0" w:color="auto"/>
        <w:bottom w:val="none" w:sz="0" w:space="0" w:color="auto"/>
        <w:right w:val="none" w:sz="0" w:space="0" w:color="auto"/>
      </w:divBdr>
    </w:div>
    <w:div w:id="1113136129">
      <w:bodyDiv w:val="1"/>
      <w:marLeft w:val="0"/>
      <w:marRight w:val="0"/>
      <w:marTop w:val="0"/>
      <w:marBottom w:val="0"/>
      <w:divBdr>
        <w:top w:val="none" w:sz="0" w:space="0" w:color="auto"/>
        <w:left w:val="none" w:sz="0" w:space="0" w:color="auto"/>
        <w:bottom w:val="none" w:sz="0" w:space="0" w:color="auto"/>
        <w:right w:val="none" w:sz="0" w:space="0" w:color="auto"/>
      </w:divBdr>
    </w:div>
    <w:div w:id="1117914068">
      <w:bodyDiv w:val="1"/>
      <w:marLeft w:val="0"/>
      <w:marRight w:val="0"/>
      <w:marTop w:val="0"/>
      <w:marBottom w:val="0"/>
      <w:divBdr>
        <w:top w:val="none" w:sz="0" w:space="0" w:color="auto"/>
        <w:left w:val="none" w:sz="0" w:space="0" w:color="auto"/>
        <w:bottom w:val="none" w:sz="0" w:space="0" w:color="auto"/>
        <w:right w:val="none" w:sz="0" w:space="0" w:color="auto"/>
      </w:divBdr>
      <w:divsChild>
        <w:div w:id="443622560">
          <w:marLeft w:val="274"/>
          <w:marRight w:val="0"/>
          <w:marTop w:val="0"/>
          <w:marBottom w:val="240"/>
          <w:divBdr>
            <w:top w:val="none" w:sz="0" w:space="0" w:color="auto"/>
            <w:left w:val="none" w:sz="0" w:space="0" w:color="auto"/>
            <w:bottom w:val="none" w:sz="0" w:space="0" w:color="auto"/>
            <w:right w:val="none" w:sz="0" w:space="0" w:color="auto"/>
          </w:divBdr>
        </w:div>
        <w:div w:id="1023557721">
          <w:marLeft w:val="274"/>
          <w:marRight w:val="0"/>
          <w:marTop w:val="0"/>
          <w:marBottom w:val="240"/>
          <w:divBdr>
            <w:top w:val="none" w:sz="0" w:space="0" w:color="auto"/>
            <w:left w:val="none" w:sz="0" w:space="0" w:color="auto"/>
            <w:bottom w:val="none" w:sz="0" w:space="0" w:color="auto"/>
            <w:right w:val="none" w:sz="0" w:space="0" w:color="auto"/>
          </w:divBdr>
        </w:div>
        <w:div w:id="1234659865">
          <w:marLeft w:val="274"/>
          <w:marRight w:val="0"/>
          <w:marTop w:val="0"/>
          <w:marBottom w:val="240"/>
          <w:divBdr>
            <w:top w:val="none" w:sz="0" w:space="0" w:color="auto"/>
            <w:left w:val="none" w:sz="0" w:space="0" w:color="auto"/>
            <w:bottom w:val="none" w:sz="0" w:space="0" w:color="auto"/>
            <w:right w:val="none" w:sz="0" w:space="0" w:color="auto"/>
          </w:divBdr>
        </w:div>
      </w:divsChild>
    </w:div>
    <w:div w:id="1135877756">
      <w:bodyDiv w:val="1"/>
      <w:marLeft w:val="0"/>
      <w:marRight w:val="0"/>
      <w:marTop w:val="0"/>
      <w:marBottom w:val="0"/>
      <w:divBdr>
        <w:top w:val="none" w:sz="0" w:space="0" w:color="auto"/>
        <w:left w:val="none" w:sz="0" w:space="0" w:color="auto"/>
        <w:bottom w:val="none" w:sz="0" w:space="0" w:color="auto"/>
        <w:right w:val="none" w:sz="0" w:space="0" w:color="auto"/>
      </w:divBdr>
    </w:div>
    <w:div w:id="1138573616">
      <w:bodyDiv w:val="1"/>
      <w:marLeft w:val="0"/>
      <w:marRight w:val="0"/>
      <w:marTop w:val="0"/>
      <w:marBottom w:val="0"/>
      <w:divBdr>
        <w:top w:val="none" w:sz="0" w:space="0" w:color="auto"/>
        <w:left w:val="none" w:sz="0" w:space="0" w:color="auto"/>
        <w:bottom w:val="none" w:sz="0" w:space="0" w:color="auto"/>
        <w:right w:val="none" w:sz="0" w:space="0" w:color="auto"/>
      </w:divBdr>
    </w:div>
    <w:div w:id="1143081827">
      <w:bodyDiv w:val="1"/>
      <w:marLeft w:val="0"/>
      <w:marRight w:val="0"/>
      <w:marTop w:val="0"/>
      <w:marBottom w:val="0"/>
      <w:divBdr>
        <w:top w:val="none" w:sz="0" w:space="0" w:color="auto"/>
        <w:left w:val="none" w:sz="0" w:space="0" w:color="auto"/>
        <w:bottom w:val="none" w:sz="0" w:space="0" w:color="auto"/>
        <w:right w:val="none" w:sz="0" w:space="0" w:color="auto"/>
      </w:divBdr>
    </w:div>
    <w:div w:id="1212228540">
      <w:bodyDiv w:val="1"/>
      <w:marLeft w:val="0"/>
      <w:marRight w:val="0"/>
      <w:marTop w:val="0"/>
      <w:marBottom w:val="0"/>
      <w:divBdr>
        <w:top w:val="none" w:sz="0" w:space="0" w:color="auto"/>
        <w:left w:val="none" w:sz="0" w:space="0" w:color="auto"/>
        <w:bottom w:val="none" w:sz="0" w:space="0" w:color="auto"/>
        <w:right w:val="none" w:sz="0" w:space="0" w:color="auto"/>
      </w:divBdr>
      <w:divsChild>
        <w:div w:id="59914880">
          <w:marLeft w:val="274"/>
          <w:marRight w:val="0"/>
          <w:marTop w:val="0"/>
          <w:marBottom w:val="120"/>
          <w:divBdr>
            <w:top w:val="none" w:sz="0" w:space="0" w:color="auto"/>
            <w:left w:val="none" w:sz="0" w:space="0" w:color="auto"/>
            <w:bottom w:val="none" w:sz="0" w:space="0" w:color="auto"/>
            <w:right w:val="none" w:sz="0" w:space="0" w:color="auto"/>
          </w:divBdr>
        </w:div>
      </w:divsChild>
    </w:div>
    <w:div w:id="1226919216">
      <w:bodyDiv w:val="1"/>
      <w:marLeft w:val="0"/>
      <w:marRight w:val="0"/>
      <w:marTop w:val="0"/>
      <w:marBottom w:val="0"/>
      <w:divBdr>
        <w:top w:val="none" w:sz="0" w:space="0" w:color="auto"/>
        <w:left w:val="none" w:sz="0" w:space="0" w:color="auto"/>
        <w:bottom w:val="none" w:sz="0" w:space="0" w:color="auto"/>
        <w:right w:val="none" w:sz="0" w:space="0" w:color="auto"/>
      </w:divBdr>
    </w:div>
    <w:div w:id="1229610120">
      <w:bodyDiv w:val="1"/>
      <w:marLeft w:val="0"/>
      <w:marRight w:val="0"/>
      <w:marTop w:val="0"/>
      <w:marBottom w:val="0"/>
      <w:divBdr>
        <w:top w:val="none" w:sz="0" w:space="0" w:color="auto"/>
        <w:left w:val="none" w:sz="0" w:space="0" w:color="auto"/>
        <w:bottom w:val="none" w:sz="0" w:space="0" w:color="auto"/>
        <w:right w:val="none" w:sz="0" w:space="0" w:color="auto"/>
      </w:divBdr>
    </w:div>
    <w:div w:id="1270356530">
      <w:bodyDiv w:val="1"/>
      <w:marLeft w:val="0"/>
      <w:marRight w:val="0"/>
      <w:marTop w:val="0"/>
      <w:marBottom w:val="0"/>
      <w:divBdr>
        <w:top w:val="none" w:sz="0" w:space="0" w:color="auto"/>
        <w:left w:val="none" w:sz="0" w:space="0" w:color="auto"/>
        <w:bottom w:val="none" w:sz="0" w:space="0" w:color="auto"/>
        <w:right w:val="none" w:sz="0" w:space="0" w:color="auto"/>
      </w:divBdr>
      <w:divsChild>
        <w:div w:id="2128506736">
          <w:marLeft w:val="0"/>
          <w:marRight w:val="0"/>
          <w:marTop w:val="0"/>
          <w:marBottom w:val="0"/>
          <w:divBdr>
            <w:top w:val="none" w:sz="0" w:space="0" w:color="auto"/>
            <w:left w:val="none" w:sz="0" w:space="0" w:color="auto"/>
            <w:bottom w:val="none" w:sz="0" w:space="0" w:color="auto"/>
            <w:right w:val="none" w:sz="0" w:space="0" w:color="auto"/>
          </w:divBdr>
          <w:divsChild>
            <w:div w:id="1884252261">
              <w:marLeft w:val="0"/>
              <w:marRight w:val="0"/>
              <w:marTop w:val="0"/>
              <w:marBottom w:val="0"/>
              <w:divBdr>
                <w:top w:val="none" w:sz="0" w:space="0" w:color="auto"/>
                <w:left w:val="none" w:sz="0" w:space="0" w:color="auto"/>
                <w:bottom w:val="none" w:sz="0" w:space="0" w:color="auto"/>
                <w:right w:val="none" w:sz="0" w:space="0" w:color="auto"/>
              </w:divBdr>
              <w:divsChild>
                <w:div w:id="2143375802">
                  <w:marLeft w:val="0"/>
                  <w:marRight w:val="0"/>
                  <w:marTop w:val="0"/>
                  <w:marBottom w:val="0"/>
                  <w:divBdr>
                    <w:top w:val="none" w:sz="0" w:space="0" w:color="auto"/>
                    <w:left w:val="none" w:sz="0" w:space="0" w:color="auto"/>
                    <w:bottom w:val="none" w:sz="0" w:space="0" w:color="auto"/>
                    <w:right w:val="none" w:sz="0" w:space="0" w:color="auto"/>
                  </w:divBdr>
                  <w:divsChild>
                    <w:div w:id="8730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15790">
      <w:bodyDiv w:val="1"/>
      <w:marLeft w:val="0"/>
      <w:marRight w:val="0"/>
      <w:marTop w:val="0"/>
      <w:marBottom w:val="0"/>
      <w:divBdr>
        <w:top w:val="none" w:sz="0" w:space="0" w:color="auto"/>
        <w:left w:val="none" w:sz="0" w:space="0" w:color="auto"/>
        <w:bottom w:val="none" w:sz="0" w:space="0" w:color="auto"/>
        <w:right w:val="none" w:sz="0" w:space="0" w:color="auto"/>
      </w:divBdr>
    </w:div>
    <w:div w:id="1341542515">
      <w:bodyDiv w:val="1"/>
      <w:marLeft w:val="0"/>
      <w:marRight w:val="0"/>
      <w:marTop w:val="0"/>
      <w:marBottom w:val="0"/>
      <w:divBdr>
        <w:top w:val="none" w:sz="0" w:space="0" w:color="auto"/>
        <w:left w:val="none" w:sz="0" w:space="0" w:color="auto"/>
        <w:bottom w:val="none" w:sz="0" w:space="0" w:color="auto"/>
        <w:right w:val="none" w:sz="0" w:space="0" w:color="auto"/>
      </w:divBdr>
    </w:div>
    <w:div w:id="1350596692">
      <w:bodyDiv w:val="1"/>
      <w:marLeft w:val="0"/>
      <w:marRight w:val="0"/>
      <w:marTop w:val="0"/>
      <w:marBottom w:val="0"/>
      <w:divBdr>
        <w:top w:val="none" w:sz="0" w:space="0" w:color="auto"/>
        <w:left w:val="none" w:sz="0" w:space="0" w:color="auto"/>
        <w:bottom w:val="none" w:sz="0" w:space="0" w:color="auto"/>
        <w:right w:val="none" w:sz="0" w:space="0" w:color="auto"/>
      </w:divBdr>
    </w:div>
    <w:div w:id="1364331849">
      <w:bodyDiv w:val="1"/>
      <w:marLeft w:val="0"/>
      <w:marRight w:val="0"/>
      <w:marTop w:val="0"/>
      <w:marBottom w:val="0"/>
      <w:divBdr>
        <w:top w:val="none" w:sz="0" w:space="0" w:color="auto"/>
        <w:left w:val="none" w:sz="0" w:space="0" w:color="auto"/>
        <w:bottom w:val="none" w:sz="0" w:space="0" w:color="auto"/>
        <w:right w:val="none" w:sz="0" w:space="0" w:color="auto"/>
      </w:divBdr>
      <w:divsChild>
        <w:div w:id="1249116582">
          <w:marLeft w:val="0"/>
          <w:marRight w:val="0"/>
          <w:marTop w:val="0"/>
          <w:marBottom w:val="0"/>
          <w:divBdr>
            <w:top w:val="none" w:sz="0" w:space="0" w:color="auto"/>
            <w:left w:val="none" w:sz="0" w:space="0" w:color="auto"/>
            <w:bottom w:val="none" w:sz="0" w:space="0" w:color="auto"/>
            <w:right w:val="none" w:sz="0" w:space="0" w:color="auto"/>
          </w:divBdr>
          <w:divsChild>
            <w:div w:id="2077897950">
              <w:marLeft w:val="0"/>
              <w:marRight w:val="0"/>
              <w:marTop w:val="0"/>
              <w:marBottom w:val="0"/>
              <w:divBdr>
                <w:top w:val="none" w:sz="0" w:space="0" w:color="auto"/>
                <w:left w:val="none" w:sz="0" w:space="0" w:color="auto"/>
                <w:bottom w:val="none" w:sz="0" w:space="0" w:color="auto"/>
                <w:right w:val="none" w:sz="0" w:space="0" w:color="auto"/>
              </w:divBdr>
              <w:divsChild>
                <w:div w:id="132212249">
                  <w:marLeft w:val="0"/>
                  <w:marRight w:val="0"/>
                  <w:marTop w:val="0"/>
                  <w:marBottom w:val="0"/>
                  <w:divBdr>
                    <w:top w:val="none" w:sz="0" w:space="0" w:color="auto"/>
                    <w:left w:val="none" w:sz="0" w:space="0" w:color="auto"/>
                    <w:bottom w:val="none" w:sz="0" w:space="0" w:color="auto"/>
                    <w:right w:val="none" w:sz="0" w:space="0" w:color="auto"/>
                  </w:divBdr>
                  <w:divsChild>
                    <w:div w:id="1851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8949">
      <w:bodyDiv w:val="1"/>
      <w:marLeft w:val="0"/>
      <w:marRight w:val="0"/>
      <w:marTop w:val="0"/>
      <w:marBottom w:val="0"/>
      <w:divBdr>
        <w:top w:val="none" w:sz="0" w:space="0" w:color="auto"/>
        <w:left w:val="none" w:sz="0" w:space="0" w:color="auto"/>
        <w:bottom w:val="none" w:sz="0" w:space="0" w:color="auto"/>
        <w:right w:val="none" w:sz="0" w:space="0" w:color="auto"/>
      </w:divBdr>
    </w:div>
    <w:div w:id="1377973063">
      <w:bodyDiv w:val="1"/>
      <w:marLeft w:val="0"/>
      <w:marRight w:val="0"/>
      <w:marTop w:val="0"/>
      <w:marBottom w:val="0"/>
      <w:divBdr>
        <w:top w:val="none" w:sz="0" w:space="0" w:color="auto"/>
        <w:left w:val="none" w:sz="0" w:space="0" w:color="auto"/>
        <w:bottom w:val="none" w:sz="0" w:space="0" w:color="auto"/>
        <w:right w:val="none" w:sz="0" w:space="0" w:color="auto"/>
      </w:divBdr>
    </w:div>
    <w:div w:id="1407413027">
      <w:bodyDiv w:val="1"/>
      <w:marLeft w:val="0"/>
      <w:marRight w:val="0"/>
      <w:marTop w:val="0"/>
      <w:marBottom w:val="0"/>
      <w:divBdr>
        <w:top w:val="none" w:sz="0" w:space="0" w:color="auto"/>
        <w:left w:val="none" w:sz="0" w:space="0" w:color="auto"/>
        <w:bottom w:val="none" w:sz="0" w:space="0" w:color="auto"/>
        <w:right w:val="none" w:sz="0" w:space="0" w:color="auto"/>
      </w:divBdr>
    </w:div>
    <w:div w:id="1423525766">
      <w:bodyDiv w:val="1"/>
      <w:marLeft w:val="0"/>
      <w:marRight w:val="0"/>
      <w:marTop w:val="0"/>
      <w:marBottom w:val="0"/>
      <w:divBdr>
        <w:top w:val="none" w:sz="0" w:space="0" w:color="auto"/>
        <w:left w:val="none" w:sz="0" w:space="0" w:color="auto"/>
        <w:bottom w:val="none" w:sz="0" w:space="0" w:color="auto"/>
        <w:right w:val="none" w:sz="0" w:space="0" w:color="auto"/>
      </w:divBdr>
    </w:div>
    <w:div w:id="1460146842">
      <w:bodyDiv w:val="1"/>
      <w:marLeft w:val="0"/>
      <w:marRight w:val="0"/>
      <w:marTop w:val="0"/>
      <w:marBottom w:val="0"/>
      <w:divBdr>
        <w:top w:val="none" w:sz="0" w:space="0" w:color="auto"/>
        <w:left w:val="none" w:sz="0" w:space="0" w:color="auto"/>
        <w:bottom w:val="none" w:sz="0" w:space="0" w:color="auto"/>
        <w:right w:val="none" w:sz="0" w:space="0" w:color="auto"/>
      </w:divBdr>
    </w:div>
    <w:div w:id="1486777759">
      <w:bodyDiv w:val="1"/>
      <w:marLeft w:val="0"/>
      <w:marRight w:val="0"/>
      <w:marTop w:val="0"/>
      <w:marBottom w:val="0"/>
      <w:divBdr>
        <w:top w:val="none" w:sz="0" w:space="0" w:color="auto"/>
        <w:left w:val="none" w:sz="0" w:space="0" w:color="auto"/>
        <w:bottom w:val="none" w:sz="0" w:space="0" w:color="auto"/>
        <w:right w:val="none" w:sz="0" w:space="0" w:color="auto"/>
      </w:divBdr>
    </w:div>
    <w:div w:id="1494758617">
      <w:bodyDiv w:val="1"/>
      <w:marLeft w:val="0"/>
      <w:marRight w:val="0"/>
      <w:marTop w:val="0"/>
      <w:marBottom w:val="0"/>
      <w:divBdr>
        <w:top w:val="none" w:sz="0" w:space="0" w:color="auto"/>
        <w:left w:val="none" w:sz="0" w:space="0" w:color="auto"/>
        <w:bottom w:val="none" w:sz="0" w:space="0" w:color="auto"/>
        <w:right w:val="none" w:sz="0" w:space="0" w:color="auto"/>
      </w:divBdr>
    </w:div>
    <w:div w:id="1506630632">
      <w:bodyDiv w:val="1"/>
      <w:marLeft w:val="0"/>
      <w:marRight w:val="0"/>
      <w:marTop w:val="0"/>
      <w:marBottom w:val="0"/>
      <w:divBdr>
        <w:top w:val="none" w:sz="0" w:space="0" w:color="auto"/>
        <w:left w:val="none" w:sz="0" w:space="0" w:color="auto"/>
        <w:bottom w:val="none" w:sz="0" w:space="0" w:color="auto"/>
        <w:right w:val="none" w:sz="0" w:space="0" w:color="auto"/>
      </w:divBdr>
      <w:divsChild>
        <w:div w:id="313071760">
          <w:marLeft w:val="0"/>
          <w:marRight w:val="0"/>
          <w:marTop w:val="0"/>
          <w:marBottom w:val="0"/>
          <w:divBdr>
            <w:top w:val="none" w:sz="0" w:space="0" w:color="auto"/>
            <w:left w:val="none" w:sz="0" w:space="0" w:color="auto"/>
            <w:bottom w:val="none" w:sz="0" w:space="0" w:color="auto"/>
            <w:right w:val="none" w:sz="0" w:space="0" w:color="auto"/>
          </w:divBdr>
          <w:divsChild>
            <w:div w:id="941257883">
              <w:marLeft w:val="0"/>
              <w:marRight w:val="0"/>
              <w:marTop w:val="0"/>
              <w:marBottom w:val="0"/>
              <w:divBdr>
                <w:top w:val="none" w:sz="0" w:space="0" w:color="auto"/>
                <w:left w:val="none" w:sz="0" w:space="0" w:color="auto"/>
                <w:bottom w:val="none" w:sz="0" w:space="0" w:color="auto"/>
                <w:right w:val="none" w:sz="0" w:space="0" w:color="auto"/>
              </w:divBdr>
              <w:divsChild>
                <w:div w:id="19392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79126">
      <w:bodyDiv w:val="1"/>
      <w:marLeft w:val="0"/>
      <w:marRight w:val="0"/>
      <w:marTop w:val="0"/>
      <w:marBottom w:val="0"/>
      <w:divBdr>
        <w:top w:val="none" w:sz="0" w:space="0" w:color="auto"/>
        <w:left w:val="none" w:sz="0" w:space="0" w:color="auto"/>
        <w:bottom w:val="none" w:sz="0" w:space="0" w:color="auto"/>
        <w:right w:val="none" w:sz="0" w:space="0" w:color="auto"/>
      </w:divBdr>
    </w:div>
    <w:div w:id="1533542720">
      <w:bodyDiv w:val="1"/>
      <w:marLeft w:val="0"/>
      <w:marRight w:val="0"/>
      <w:marTop w:val="0"/>
      <w:marBottom w:val="0"/>
      <w:divBdr>
        <w:top w:val="none" w:sz="0" w:space="0" w:color="auto"/>
        <w:left w:val="none" w:sz="0" w:space="0" w:color="auto"/>
        <w:bottom w:val="none" w:sz="0" w:space="0" w:color="auto"/>
        <w:right w:val="none" w:sz="0" w:space="0" w:color="auto"/>
      </w:divBdr>
    </w:div>
    <w:div w:id="1541555519">
      <w:bodyDiv w:val="1"/>
      <w:marLeft w:val="0"/>
      <w:marRight w:val="0"/>
      <w:marTop w:val="0"/>
      <w:marBottom w:val="0"/>
      <w:divBdr>
        <w:top w:val="none" w:sz="0" w:space="0" w:color="auto"/>
        <w:left w:val="none" w:sz="0" w:space="0" w:color="auto"/>
        <w:bottom w:val="none" w:sz="0" w:space="0" w:color="auto"/>
        <w:right w:val="none" w:sz="0" w:space="0" w:color="auto"/>
      </w:divBdr>
    </w:div>
    <w:div w:id="1547254549">
      <w:bodyDiv w:val="1"/>
      <w:marLeft w:val="0"/>
      <w:marRight w:val="0"/>
      <w:marTop w:val="0"/>
      <w:marBottom w:val="0"/>
      <w:divBdr>
        <w:top w:val="none" w:sz="0" w:space="0" w:color="auto"/>
        <w:left w:val="none" w:sz="0" w:space="0" w:color="auto"/>
        <w:bottom w:val="none" w:sz="0" w:space="0" w:color="auto"/>
        <w:right w:val="none" w:sz="0" w:space="0" w:color="auto"/>
      </w:divBdr>
    </w:div>
    <w:div w:id="1550917261">
      <w:bodyDiv w:val="1"/>
      <w:marLeft w:val="0"/>
      <w:marRight w:val="0"/>
      <w:marTop w:val="0"/>
      <w:marBottom w:val="0"/>
      <w:divBdr>
        <w:top w:val="none" w:sz="0" w:space="0" w:color="auto"/>
        <w:left w:val="none" w:sz="0" w:space="0" w:color="auto"/>
        <w:bottom w:val="none" w:sz="0" w:space="0" w:color="auto"/>
        <w:right w:val="none" w:sz="0" w:space="0" w:color="auto"/>
      </w:divBdr>
      <w:divsChild>
        <w:div w:id="72893747">
          <w:marLeft w:val="0"/>
          <w:marRight w:val="0"/>
          <w:marTop w:val="0"/>
          <w:marBottom w:val="0"/>
          <w:divBdr>
            <w:top w:val="none" w:sz="0" w:space="0" w:color="auto"/>
            <w:left w:val="none" w:sz="0" w:space="0" w:color="auto"/>
            <w:bottom w:val="none" w:sz="0" w:space="0" w:color="auto"/>
            <w:right w:val="none" w:sz="0" w:space="0" w:color="auto"/>
          </w:divBdr>
          <w:divsChild>
            <w:div w:id="1385985202">
              <w:marLeft w:val="0"/>
              <w:marRight w:val="0"/>
              <w:marTop w:val="0"/>
              <w:marBottom w:val="0"/>
              <w:divBdr>
                <w:top w:val="none" w:sz="0" w:space="0" w:color="auto"/>
                <w:left w:val="none" w:sz="0" w:space="0" w:color="auto"/>
                <w:bottom w:val="none" w:sz="0" w:space="0" w:color="auto"/>
                <w:right w:val="none" w:sz="0" w:space="0" w:color="auto"/>
              </w:divBdr>
              <w:divsChild>
                <w:div w:id="1681395398">
                  <w:marLeft w:val="0"/>
                  <w:marRight w:val="0"/>
                  <w:marTop w:val="0"/>
                  <w:marBottom w:val="0"/>
                  <w:divBdr>
                    <w:top w:val="none" w:sz="0" w:space="0" w:color="auto"/>
                    <w:left w:val="none" w:sz="0" w:space="0" w:color="auto"/>
                    <w:bottom w:val="none" w:sz="0" w:space="0" w:color="auto"/>
                    <w:right w:val="none" w:sz="0" w:space="0" w:color="auto"/>
                  </w:divBdr>
                  <w:divsChild>
                    <w:div w:id="11759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7203">
      <w:bodyDiv w:val="1"/>
      <w:marLeft w:val="0"/>
      <w:marRight w:val="0"/>
      <w:marTop w:val="0"/>
      <w:marBottom w:val="0"/>
      <w:divBdr>
        <w:top w:val="none" w:sz="0" w:space="0" w:color="auto"/>
        <w:left w:val="none" w:sz="0" w:space="0" w:color="auto"/>
        <w:bottom w:val="none" w:sz="0" w:space="0" w:color="auto"/>
        <w:right w:val="none" w:sz="0" w:space="0" w:color="auto"/>
      </w:divBdr>
    </w:div>
    <w:div w:id="1590432217">
      <w:bodyDiv w:val="1"/>
      <w:marLeft w:val="0"/>
      <w:marRight w:val="0"/>
      <w:marTop w:val="0"/>
      <w:marBottom w:val="0"/>
      <w:divBdr>
        <w:top w:val="none" w:sz="0" w:space="0" w:color="auto"/>
        <w:left w:val="none" w:sz="0" w:space="0" w:color="auto"/>
        <w:bottom w:val="none" w:sz="0" w:space="0" w:color="auto"/>
        <w:right w:val="none" w:sz="0" w:space="0" w:color="auto"/>
      </w:divBdr>
    </w:div>
    <w:div w:id="1602372100">
      <w:bodyDiv w:val="1"/>
      <w:marLeft w:val="0"/>
      <w:marRight w:val="0"/>
      <w:marTop w:val="0"/>
      <w:marBottom w:val="0"/>
      <w:divBdr>
        <w:top w:val="none" w:sz="0" w:space="0" w:color="auto"/>
        <w:left w:val="none" w:sz="0" w:space="0" w:color="auto"/>
        <w:bottom w:val="none" w:sz="0" w:space="0" w:color="auto"/>
        <w:right w:val="none" w:sz="0" w:space="0" w:color="auto"/>
      </w:divBdr>
    </w:div>
    <w:div w:id="1602834068">
      <w:bodyDiv w:val="1"/>
      <w:marLeft w:val="0"/>
      <w:marRight w:val="0"/>
      <w:marTop w:val="0"/>
      <w:marBottom w:val="0"/>
      <w:divBdr>
        <w:top w:val="none" w:sz="0" w:space="0" w:color="auto"/>
        <w:left w:val="none" w:sz="0" w:space="0" w:color="auto"/>
        <w:bottom w:val="none" w:sz="0" w:space="0" w:color="auto"/>
        <w:right w:val="none" w:sz="0" w:space="0" w:color="auto"/>
      </w:divBdr>
    </w:div>
    <w:div w:id="1609854210">
      <w:bodyDiv w:val="1"/>
      <w:marLeft w:val="0"/>
      <w:marRight w:val="0"/>
      <w:marTop w:val="0"/>
      <w:marBottom w:val="0"/>
      <w:divBdr>
        <w:top w:val="none" w:sz="0" w:space="0" w:color="auto"/>
        <w:left w:val="none" w:sz="0" w:space="0" w:color="auto"/>
        <w:bottom w:val="none" w:sz="0" w:space="0" w:color="auto"/>
        <w:right w:val="none" w:sz="0" w:space="0" w:color="auto"/>
      </w:divBdr>
    </w:div>
    <w:div w:id="1612399553">
      <w:bodyDiv w:val="1"/>
      <w:marLeft w:val="0"/>
      <w:marRight w:val="0"/>
      <w:marTop w:val="0"/>
      <w:marBottom w:val="0"/>
      <w:divBdr>
        <w:top w:val="none" w:sz="0" w:space="0" w:color="auto"/>
        <w:left w:val="none" w:sz="0" w:space="0" w:color="auto"/>
        <w:bottom w:val="none" w:sz="0" w:space="0" w:color="auto"/>
        <w:right w:val="none" w:sz="0" w:space="0" w:color="auto"/>
      </w:divBdr>
    </w:div>
    <w:div w:id="1613123049">
      <w:bodyDiv w:val="1"/>
      <w:marLeft w:val="0"/>
      <w:marRight w:val="0"/>
      <w:marTop w:val="0"/>
      <w:marBottom w:val="0"/>
      <w:divBdr>
        <w:top w:val="none" w:sz="0" w:space="0" w:color="auto"/>
        <w:left w:val="none" w:sz="0" w:space="0" w:color="auto"/>
        <w:bottom w:val="none" w:sz="0" w:space="0" w:color="auto"/>
        <w:right w:val="none" w:sz="0" w:space="0" w:color="auto"/>
      </w:divBdr>
    </w:div>
    <w:div w:id="1679847696">
      <w:bodyDiv w:val="1"/>
      <w:marLeft w:val="0"/>
      <w:marRight w:val="0"/>
      <w:marTop w:val="0"/>
      <w:marBottom w:val="0"/>
      <w:divBdr>
        <w:top w:val="none" w:sz="0" w:space="0" w:color="auto"/>
        <w:left w:val="none" w:sz="0" w:space="0" w:color="auto"/>
        <w:bottom w:val="none" w:sz="0" w:space="0" w:color="auto"/>
        <w:right w:val="none" w:sz="0" w:space="0" w:color="auto"/>
      </w:divBdr>
    </w:div>
    <w:div w:id="1686243859">
      <w:bodyDiv w:val="1"/>
      <w:marLeft w:val="0"/>
      <w:marRight w:val="0"/>
      <w:marTop w:val="0"/>
      <w:marBottom w:val="0"/>
      <w:divBdr>
        <w:top w:val="none" w:sz="0" w:space="0" w:color="auto"/>
        <w:left w:val="none" w:sz="0" w:space="0" w:color="auto"/>
        <w:bottom w:val="none" w:sz="0" w:space="0" w:color="auto"/>
        <w:right w:val="none" w:sz="0" w:space="0" w:color="auto"/>
      </w:divBdr>
      <w:divsChild>
        <w:div w:id="1813407167">
          <w:marLeft w:val="0"/>
          <w:marRight w:val="0"/>
          <w:marTop w:val="0"/>
          <w:marBottom w:val="0"/>
          <w:divBdr>
            <w:top w:val="none" w:sz="0" w:space="0" w:color="auto"/>
            <w:left w:val="none" w:sz="0" w:space="0" w:color="auto"/>
            <w:bottom w:val="none" w:sz="0" w:space="0" w:color="auto"/>
            <w:right w:val="none" w:sz="0" w:space="0" w:color="auto"/>
          </w:divBdr>
          <w:divsChild>
            <w:div w:id="36011410">
              <w:marLeft w:val="0"/>
              <w:marRight w:val="0"/>
              <w:marTop w:val="0"/>
              <w:marBottom w:val="0"/>
              <w:divBdr>
                <w:top w:val="none" w:sz="0" w:space="0" w:color="auto"/>
                <w:left w:val="none" w:sz="0" w:space="0" w:color="auto"/>
                <w:bottom w:val="none" w:sz="0" w:space="0" w:color="auto"/>
                <w:right w:val="none" w:sz="0" w:space="0" w:color="auto"/>
              </w:divBdr>
              <w:divsChild>
                <w:div w:id="288517211">
                  <w:marLeft w:val="0"/>
                  <w:marRight w:val="0"/>
                  <w:marTop w:val="0"/>
                  <w:marBottom w:val="0"/>
                  <w:divBdr>
                    <w:top w:val="none" w:sz="0" w:space="0" w:color="auto"/>
                    <w:left w:val="none" w:sz="0" w:space="0" w:color="auto"/>
                    <w:bottom w:val="none" w:sz="0" w:space="0" w:color="auto"/>
                    <w:right w:val="none" w:sz="0" w:space="0" w:color="auto"/>
                  </w:divBdr>
                  <w:divsChild>
                    <w:div w:id="72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48130">
      <w:bodyDiv w:val="1"/>
      <w:marLeft w:val="0"/>
      <w:marRight w:val="0"/>
      <w:marTop w:val="0"/>
      <w:marBottom w:val="0"/>
      <w:divBdr>
        <w:top w:val="none" w:sz="0" w:space="0" w:color="auto"/>
        <w:left w:val="none" w:sz="0" w:space="0" w:color="auto"/>
        <w:bottom w:val="none" w:sz="0" w:space="0" w:color="auto"/>
        <w:right w:val="none" w:sz="0" w:space="0" w:color="auto"/>
      </w:divBdr>
      <w:divsChild>
        <w:div w:id="156113180">
          <w:marLeft w:val="446"/>
          <w:marRight w:val="216"/>
          <w:marTop w:val="0"/>
          <w:marBottom w:val="160"/>
          <w:divBdr>
            <w:top w:val="none" w:sz="0" w:space="0" w:color="auto"/>
            <w:left w:val="none" w:sz="0" w:space="0" w:color="auto"/>
            <w:bottom w:val="none" w:sz="0" w:space="0" w:color="auto"/>
            <w:right w:val="none" w:sz="0" w:space="0" w:color="auto"/>
          </w:divBdr>
        </w:div>
        <w:div w:id="1896548385">
          <w:marLeft w:val="446"/>
          <w:marRight w:val="216"/>
          <w:marTop w:val="0"/>
          <w:marBottom w:val="160"/>
          <w:divBdr>
            <w:top w:val="none" w:sz="0" w:space="0" w:color="auto"/>
            <w:left w:val="none" w:sz="0" w:space="0" w:color="auto"/>
            <w:bottom w:val="none" w:sz="0" w:space="0" w:color="auto"/>
            <w:right w:val="none" w:sz="0" w:space="0" w:color="auto"/>
          </w:divBdr>
        </w:div>
      </w:divsChild>
    </w:div>
    <w:div w:id="1693258775">
      <w:bodyDiv w:val="1"/>
      <w:marLeft w:val="0"/>
      <w:marRight w:val="0"/>
      <w:marTop w:val="0"/>
      <w:marBottom w:val="0"/>
      <w:divBdr>
        <w:top w:val="none" w:sz="0" w:space="0" w:color="auto"/>
        <w:left w:val="none" w:sz="0" w:space="0" w:color="auto"/>
        <w:bottom w:val="none" w:sz="0" w:space="0" w:color="auto"/>
        <w:right w:val="none" w:sz="0" w:space="0" w:color="auto"/>
      </w:divBdr>
    </w:div>
    <w:div w:id="1727754975">
      <w:bodyDiv w:val="1"/>
      <w:marLeft w:val="0"/>
      <w:marRight w:val="0"/>
      <w:marTop w:val="0"/>
      <w:marBottom w:val="0"/>
      <w:divBdr>
        <w:top w:val="none" w:sz="0" w:space="0" w:color="auto"/>
        <w:left w:val="none" w:sz="0" w:space="0" w:color="auto"/>
        <w:bottom w:val="none" w:sz="0" w:space="0" w:color="auto"/>
        <w:right w:val="none" w:sz="0" w:space="0" w:color="auto"/>
      </w:divBdr>
    </w:div>
    <w:div w:id="1743486611">
      <w:bodyDiv w:val="1"/>
      <w:marLeft w:val="0"/>
      <w:marRight w:val="0"/>
      <w:marTop w:val="0"/>
      <w:marBottom w:val="0"/>
      <w:divBdr>
        <w:top w:val="none" w:sz="0" w:space="0" w:color="auto"/>
        <w:left w:val="none" w:sz="0" w:space="0" w:color="auto"/>
        <w:bottom w:val="none" w:sz="0" w:space="0" w:color="auto"/>
        <w:right w:val="none" w:sz="0" w:space="0" w:color="auto"/>
      </w:divBdr>
    </w:div>
    <w:div w:id="1762213784">
      <w:bodyDiv w:val="1"/>
      <w:marLeft w:val="0"/>
      <w:marRight w:val="0"/>
      <w:marTop w:val="0"/>
      <w:marBottom w:val="0"/>
      <w:divBdr>
        <w:top w:val="none" w:sz="0" w:space="0" w:color="auto"/>
        <w:left w:val="none" w:sz="0" w:space="0" w:color="auto"/>
        <w:bottom w:val="none" w:sz="0" w:space="0" w:color="auto"/>
        <w:right w:val="none" w:sz="0" w:space="0" w:color="auto"/>
      </w:divBdr>
    </w:div>
    <w:div w:id="1763329960">
      <w:bodyDiv w:val="1"/>
      <w:marLeft w:val="0"/>
      <w:marRight w:val="0"/>
      <w:marTop w:val="0"/>
      <w:marBottom w:val="0"/>
      <w:divBdr>
        <w:top w:val="none" w:sz="0" w:space="0" w:color="auto"/>
        <w:left w:val="none" w:sz="0" w:space="0" w:color="auto"/>
        <w:bottom w:val="none" w:sz="0" w:space="0" w:color="auto"/>
        <w:right w:val="none" w:sz="0" w:space="0" w:color="auto"/>
      </w:divBdr>
    </w:div>
    <w:div w:id="1780484666">
      <w:bodyDiv w:val="1"/>
      <w:marLeft w:val="0"/>
      <w:marRight w:val="0"/>
      <w:marTop w:val="0"/>
      <w:marBottom w:val="0"/>
      <w:divBdr>
        <w:top w:val="none" w:sz="0" w:space="0" w:color="auto"/>
        <w:left w:val="none" w:sz="0" w:space="0" w:color="auto"/>
        <w:bottom w:val="none" w:sz="0" w:space="0" w:color="auto"/>
        <w:right w:val="none" w:sz="0" w:space="0" w:color="auto"/>
      </w:divBdr>
    </w:div>
    <w:div w:id="1781534506">
      <w:bodyDiv w:val="1"/>
      <w:marLeft w:val="0"/>
      <w:marRight w:val="0"/>
      <w:marTop w:val="0"/>
      <w:marBottom w:val="0"/>
      <w:divBdr>
        <w:top w:val="none" w:sz="0" w:space="0" w:color="auto"/>
        <w:left w:val="none" w:sz="0" w:space="0" w:color="auto"/>
        <w:bottom w:val="none" w:sz="0" w:space="0" w:color="auto"/>
        <w:right w:val="none" w:sz="0" w:space="0" w:color="auto"/>
      </w:divBdr>
    </w:div>
    <w:div w:id="1792240711">
      <w:bodyDiv w:val="1"/>
      <w:marLeft w:val="0"/>
      <w:marRight w:val="0"/>
      <w:marTop w:val="0"/>
      <w:marBottom w:val="0"/>
      <w:divBdr>
        <w:top w:val="none" w:sz="0" w:space="0" w:color="auto"/>
        <w:left w:val="none" w:sz="0" w:space="0" w:color="auto"/>
        <w:bottom w:val="none" w:sz="0" w:space="0" w:color="auto"/>
        <w:right w:val="none" w:sz="0" w:space="0" w:color="auto"/>
      </w:divBdr>
    </w:div>
    <w:div w:id="1806198104">
      <w:bodyDiv w:val="1"/>
      <w:marLeft w:val="0"/>
      <w:marRight w:val="0"/>
      <w:marTop w:val="0"/>
      <w:marBottom w:val="0"/>
      <w:divBdr>
        <w:top w:val="none" w:sz="0" w:space="0" w:color="auto"/>
        <w:left w:val="none" w:sz="0" w:space="0" w:color="auto"/>
        <w:bottom w:val="none" w:sz="0" w:space="0" w:color="auto"/>
        <w:right w:val="none" w:sz="0" w:space="0" w:color="auto"/>
      </w:divBdr>
    </w:div>
    <w:div w:id="1827043297">
      <w:bodyDiv w:val="1"/>
      <w:marLeft w:val="0"/>
      <w:marRight w:val="0"/>
      <w:marTop w:val="0"/>
      <w:marBottom w:val="0"/>
      <w:divBdr>
        <w:top w:val="none" w:sz="0" w:space="0" w:color="auto"/>
        <w:left w:val="none" w:sz="0" w:space="0" w:color="auto"/>
        <w:bottom w:val="none" w:sz="0" w:space="0" w:color="auto"/>
        <w:right w:val="none" w:sz="0" w:space="0" w:color="auto"/>
      </w:divBdr>
    </w:div>
    <w:div w:id="1845167479">
      <w:bodyDiv w:val="1"/>
      <w:marLeft w:val="0"/>
      <w:marRight w:val="0"/>
      <w:marTop w:val="0"/>
      <w:marBottom w:val="0"/>
      <w:divBdr>
        <w:top w:val="none" w:sz="0" w:space="0" w:color="auto"/>
        <w:left w:val="none" w:sz="0" w:space="0" w:color="auto"/>
        <w:bottom w:val="none" w:sz="0" w:space="0" w:color="auto"/>
        <w:right w:val="none" w:sz="0" w:space="0" w:color="auto"/>
      </w:divBdr>
    </w:div>
    <w:div w:id="1850412070">
      <w:bodyDiv w:val="1"/>
      <w:marLeft w:val="0"/>
      <w:marRight w:val="0"/>
      <w:marTop w:val="0"/>
      <w:marBottom w:val="0"/>
      <w:divBdr>
        <w:top w:val="none" w:sz="0" w:space="0" w:color="auto"/>
        <w:left w:val="none" w:sz="0" w:space="0" w:color="auto"/>
        <w:bottom w:val="none" w:sz="0" w:space="0" w:color="auto"/>
        <w:right w:val="none" w:sz="0" w:space="0" w:color="auto"/>
      </w:divBdr>
    </w:div>
    <w:div w:id="1882400678">
      <w:bodyDiv w:val="1"/>
      <w:marLeft w:val="0"/>
      <w:marRight w:val="0"/>
      <w:marTop w:val="0"/>
      <w:marBottom w:val="0"/>
      <w:divBdr>
        <w:top w:val="none" w:sz="0" w:space="0" w:color="auto"/>
        <w:left w:val="none" w:sz="0" w:space="0" w:color="auto"/>
        <w:bottom w:val="none" w:sz="0" w:space="0" w:color="auto"/>
        <w:right w:val="none" w:sz="0" w:space="0" w:color="auto"/>
      </w:divBdr>
    </w:div>
    <w:div w:id="1882858373">
      <w:bodyDiv w:val="1"/>
      <w:marLeft w:val="0"/>
      <w:marRight w:val="0"/>
      <w:marTop w:val="0"/>
      <w:marBottom w:val="0"/>
      <w:divBdr>
        <w:top w:val="none" w:sz="0" w:space="0" w:color="auto"/>
        <w:left w:val="none" w:sz="0" w:space="0" w:color="auto"/>
        <w:bottom w:val="none" w:sz="0" w:space="0" w:color="auto"/>
        <w:right w:val="none" w:sz="0" w:space="0" w:color="auto"/>
      </w:divBdr>
    </w:div>
    <w:div w:id="1885798537">
      <w:bodyDiv w:val="1"/>
      <w:marLeft w:val="0"/>
      <w:marRight w:val="0"/>
      <w:marTop w:val="0"/>
      <w:marBottom w:val="0"/>
      <w:divBdr>
        <w:top w:val="none" w:sz="0" w:space="0" w:color="auto"/>
        <w:left w:val="none" w:sz="0" w:space="0" w:color="auto"/>
        <w:bottom w:val="none" w:sz="0" w:space="0" w:color="auto"/>
        <w:right w:val="none" w:sz="0" w:space="0" w:color="auto"/>
      </w:divBdr>
    </w:div>
    <w:div w:id="1898204847">
      <w:bodyDiv w:val="1"/>
      <w:marLeft w:val="0"/>
      <w:marRight w:val="0"/>
      <w:marTop w:val="0"/>
      <w:marBottom w:val="0"/>
      <w:divBdr>
        <w:top w:val="none" w:sz="0" w:space="0" w:color="auto"/>
        <w:left w:val="none" w:sz="0" w:space="0" w:color="auto"/>
        <w:bottom w:val="none" w:sz="0" w:space="0" w:color="auto"/>
        <w:right w:val="none" w:sz="0" w:space="0" w:color="auto"/>
      </w:divBdr>
    </w:div>
    <w:div w:id="1918398735">
      <w:bodyDiv w:val="1"/>
      <w:marLeft w:val="0"/>
      <w:marRight w:val="0"/>
      <w:marTop w:val="0"/>
      <w:marBottom w:val="0"/>
      <w:divBdr>
        <w:top w:val="none" w:sz="0" w:space="0" w:color="auto"/>
        <w:left w:val="none" w:sz="0" w:space="0" w:color="auto"/>
        <w:bottom w:val="none" w:sz="0" w:space="0" w:color="auto"/>
        <w:right w:val="none" w:sz="0" w:space="0" w:color="auto"/>
      </w:divBdr>
    </w:div>
    <w:div w:id="1919099651">
      <w:bodyDiv w:val="1"/>
      <w:marLeft w:val="0"/>
      <w:marRight w:val="0"/>
      <w:marTop w:val="0"/>
      <w:marBottom w:val="0"/>
      <w:divBdr>
        <w:top w:val="none" w:sz="0" w:space="0" w:color="auto"/>
        <w:left w:val="none" w:sz="0" w:space="0" w:color="auto"/>
        <w:bottom w:val="none" w:sz="0" w:space="0" w:color="auto"/>
        <w:right w:val="none" w:sz="0" w:space="0" w:color="auto"/>
      </w:divBdr>
    </w:div>
    <w:div w:id="1924220524">
      <w:bodyDiv w:val="1"/>
      <w:marLeft w:val="0"/>
      <w:marRight w:val="0"/>
      <w:marTop w:val="0"/>
      <w:marBottom w:val="0"/>
      <w:divBdr>
        <w:top w:val="none" w:sz="0" w:space="0" w:color="auto"/>
        <w:left w:val="none" w:sz="0" w:space="0" w:color="auto"/>
        <w:bottom w:val="none" w:sz="0" w:space="0" w:color="auto"/>
        <w:right w:val="none" w:sz="0" w:space="0" w:color="auto"/>
      </w:divBdr>
    </w:div>
    <w:div w:id="1941523417">
      <w:bodyDiv w:val="1"/>
      <w:marLeft w:val="0"/>
      <w:marRight w:val="0"/>
      <w:marTop w:val="0"/>
      <w:marBottom w:val="0"/>
      <w:divBdr>
        <w:top w:val="none" w:sz="0" w:space="0" w:color="auto"/>
        <w:left w:val="none" w:sz="0" w:space="0" w:color="auto"/>
        <w:bottom w:val="none" w:sz="0" w:space="0" w:color="auto"/>
        <w:right w:val="none" w:sz="0" w:space="0" w:color="auto"/>
      </w:divBdr>
    </w:div>
    <w:div w:id="1969624661">
      <w:bodyDiv w:val="1"/>
      <w:marLeft w:val="0"/>
      <w:marRight w:val="0"/>
      <w:marTop w:val="0"/>
      <w:marBottom w:val="0"/>
      <w:divBdr>
        <w:top w:val="none" w:sz="0" w:space="0" w:color="auto"/>
        <w:left w:val="none" w:sz="0" w:space="0" w:color="auto"/>
        <w:bottom w:val="none" w:sz="0" w:space="0" w:color="auto"/>
        <w:right w:val="none" w:sz="0" w:space="0" w:color="auto"/>
      </w:divBdr>
      <w:divsChild>
        <w:div w:id="1534878887">
          <w:marLeft w:val="0"/>
          <w:marRight w:val="0"/>
          <w:marTop w:val="0"/>
          <w:marBottom w:val="0"/>
          <w:divBdr>
            <w:top w:val="none" w:sz="0" w:space="0" w:color="auto"/>
            <w:left w:val="none" w:sz="0" w:space="0" w:color="auto"/>
            <w:bottom w:val="none" w:sz="0" w:space="0" w:color="auto"/>
            <w:right w:val="none" w:sz="0" w:space="0" w:color="auto"/>
          </w:divBdr>
          <w:divsChild>
            <w:div w:id="1732072359">
              <w:marLeft w:val="0"/>
              <w:marRight w:val="0"/>
              <w:marTop w:val="0"/>
              <w:marBottom w:val="0"/>
              <w:divBdr>
                <w:top w:val="none" w:sz="0" w:space="0" w:color="auto"/>
                <w:left w:val="none" w:sz="0" w:space="0" w:color="auto"/>
                <w:bottom w:val="none" w:sz="0" w:space="0" w:color="auto"/>
                <w:right w:val="none" w:sz="0" w:space="0" w:color="auto"/>
              </w:divBdr>
              <w:divsChild>
                <w:div w:id="496042394">
                  <w:marLeft w:val="0"/>
                  <w:marRight w:val="0"/>
                  <w:marTop w:val="0"/>
                  <w:marBottom w:val="0"/>
                  <w:divBdr>
                    <w:top w:val="none" w:sz="0" w:space="0" w:color="auto"/>
                    <w:left w:val="none" w:sz="0" w:space="0" w:color="auto"/>
                    <w:bottom w:val="none" w:sz="0" w:space="0" w:color="auto"/>
                    <w:right w:val="none" w:sz="0" w:space="0" w:color="auto"/>
                  </w:divBdr>
                  <w:divsChild>
                    <w:div w:id="9165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1130">
      <w:bodyDiv w:val="1"/>
      <w:marLeft w:val="0"/>
      <w:marRight w:val="0"/>
      <w:marTop w:val="0"/>
      <w:marBottom w:val="0"/>
      <w:divBdr>
        <w:top w:val="none" w:sz="0" w:space="0" w:color="auto"/>
        <w:left w:val="none" w:sz="0" w:space="0" w:color="auto"/>
        <w:bottom w:val="none" w:sz="0" w:space="0" w:color="auto"/>
        <w:right w:val="none" w:sz="0" w:space="0" w:color="auto"/>
      </w:divBdr>
    </w:div>
    <w:div w:id="1991056060">
      <w:bodyDiv w:val="1"/>
      <w:marLeft w:val="0"/>
      <w:marRight w:val="0"/>
      <w:marTop w:val="0"/>
      <w:marBottom w:val="0"/>
      <w:divBdr>
        <w:top w:val="none" w:sz="0" w:space="0" w:color="auto"/>
        <w:left w:val="none" w:sz="0" w:space="0" w:color="auto"/>
        <w:bottom w:val="none" w:sz="0" w:space="0" w:color="auto"/>
        <w:right w:val="none" w:sz="0" w:space="0" w:color="auto"/>
      </w:divBdr>
    </w:div>
    <w:div w:id="2013952197">
      <w:bodyDiv w:val="1"/>
      <w:marLeft w:val="0"/>
      <w:marRight w:val="0"/>
      <w:marTop w:val="0"/>
      <w:marBottom w:val="0"/>
      <w:divBdr>
        <w:top w:val="none" w:sz="0" w:space="0" w:color="auto"/>
        <w:left w:val="none" w:sz="0" w:space="0" w:color="auto"/>
        <w:bottom w:val="none" w:sz="0" w:space="0" w:color="auto"/>
        <w:right w:val="none" w:sz="0" w:space="0" w:color="auto"/>
      </w:divBdr>
    </w:div>
    <w:div w:id="2014646365">
      <w:bodyDiv w:val="1"/>
      <w:marLeft w:val="0"/>
      <w:marRight w:val="0"/>
      <w:marTop w:val="0"/>
      <w:marBottom w:val="0"/>
      <w:divBdr>
        <w:top w:val="none" w:sz="0" w:space="0" w:color="auto"/>
        <w:left w:val="none" w:sz="0" w:space="0" w:color="auto"/>
        <w:bottom w:val="none" w:sz="0" w:space="0" w:color="auto"/>
        <w:right w:val="none" w:sz="0" w:space="0" w:color="auto"/>
      </w:divBdr>
    </w:div>
    <w:div w:id="2015955928">
      <w:bodyDiv w:val="1"/>
      <w:marLeft w:val="0"/>
      <w:marRight w:val="0"/>
      <w:marTop w:val="0"/>
      <w:marBottom w:val="0"/>
      <w:divBdr>
        <w:top w:val="none" w:sz="0" w:space="0" w:color="auto"/>
        <w:left w:val="none" w:sz="0" w:space="0" w:color="auto"/>
        <w:bottom w:val="none" w:sz="0" w:space="0" w:color="auto"/>
        <w:right w:val="none" w:sz="0" w:space="0" w:color="auto"/>
      </w:divBdr>
      <w:divsChild>
        <w:div w:id="1500002568">
          <w:marLeft w:val="0"/>
          <w:marRight w:val="0"/>
          <w:marTop w:val="0"/>
          <w:marBottom w:val="0"/>
          <w:divBdr>
            <w:top w:val="none" w:sz="0" w:space="0" w:color="auto"/>
            <w:left w:val="none" w:sz="0" w:space="0" w:color="auto"/>
            <w:bottom w:val="none" w:sz="0" w:space="0" w:color="auto"/>
            <w:right w:val="none" w:sz="0" w:space="0" w:color="auto"/>
          </w:divBdr>
          <w:divsChild>
            <w:div w:id="444812866">
              <w:marLeft w:val="0"/>
              <w:marRight w:val="0"/>
              <w:marTop w:val="0"/>
              <w:marBottom w:val="0"/>
              <w:divBdr>
                <w:top w:val="none" w:sz="0" w:space="0" w:color="auto"/>
                <w:left w:val="none" w:sz="0" w:space="0" w:color="auto"/>
                <w:bottom w:val="none" w:sz="0" w:space="0" w:color="auto"/>
                <w:right w:val="none" w:sz="0" w:space="0" w:color="auto"/>
              </w:divBdr>
              <w:divsChild>
                <w:div w:id="1809737245">
                  <w:marLeft w:val="0"/>
                  <w:marRight w:val="0"/>
                  <w:marTop w:val="0"/>
                  <w:marBottom w:val="0"/>
                  <w:divBdr>
                    <w:top w:val="none" w:sz="0" w:space="0" w:color="auto"/>
                    <w:left w:val="none" w:sz="0" w:space="0" w:color="auto"/>
                    <w:bottom w:val="none" w:sz="0" w:space="0" w:color="auto"/>
                    <w:right w:val="none" w:sz="0" w:space="0" w:color="auto"/>
                  </w:divBdr>
                  <w:divsChild>
                    <w:div w:id="18074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188">
      <w:bodyDiv w:val="1"/>
      <w:marLeft w:val="0"/>
      <w:marRight w:val="0"/>
      <w:marTop w:val="0"/>
      <w:marBottom w:val="0"/>
      <w:divBdr>
        <w:top w:val="none" w:sz="0" w:space="0" w:color="auto"/>
        <w:left w:val="none" w:sz="0" w:space="0" w:color="auto"/>
        <w:bottom w:val="none" w:sz="0" w:space="0" w:color="auto"/>
        <w:right w:val="none" w:sz="0" w:space="0" w:color="auto"/>
      </w:divBdr>
      <w:divsChild>
        <w:div w:id="782849013">
          <w:marLeft w:val="0"/>
          <w:marRight w:val="0"/>
          <w:marTop w:val="0"/>
          <w:marBottom w:val="0"/>
          <w:divBdr>
            <w:top w:val="none" w:sz="0" w:space="0" w:color="auto"/>
            <w:left w:val="none" w:sz="0" w:space="0" w:color="auto"/>
            <w:bottom w:val="none" w:sz="0" w:space="0" w:color="auto"/>
            <w:right w:val="none" w:sz="0" w:space="0" w:color="auto"/>
          </w:divBdr>
          <w:divsChild>
            <w:div w:id="845942983">
              <w:marLeft w:val="0"/>
              <w:marRight w:val="0"/>
              <w:marTop w:val="0"/>
              <w:marBottom w:val="0"/>
              <w:divBdr>
                <w:top w:val="none" w:sz="0" w:space="0" w:color="auto"/>
                <w:left w:val="none" w:sz="0" w:space="0" w:color="auto"/>
                <w:bottom w:val="none" w:sz="0" w:space="0" w:color="auto"/>
                <w:right w:val="none" w:sz="0" w:space="0" w:color="auto"/>
              </w:divBdr>
              <w:divsChild>
                <w:div w:id="142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4532">
      <w:bodyDiv w:val="1"/>
      <w:marLeft w:val="0"/>
      <w:marRight w:val="0"/>
      <w:marTop w:val="0"/>
      <w:marBottom w:val="0"/>
      <w:divBdr>
        <w:top w:val="none" w:sz="0" w:space="0" w:color="auto"/>
        <w:left w:val="none" w:sz="0" w:space="0" w:color="auto"/>
        <w:bottom w:val="none" w:sz="0" w:space="0" w:color="auto"/>
        <w:right w:val="none" w:sz="0" w:space="0" w:color="auto"/>
      </w:divBdr>
      <w:divsChild>
        <w:div w:id="23100762">
          <w:marLeft w:val="0"/>
          <w:marRight w:val="0"/>
          <w:marTop w:val="0"/>
          <w:marBottom w:val="0"/>
          <w:divBdr>
            <w:top w:val="none" w:sz="0" w:space="0" w:color="auto"/>
            <w:left w:val="none" w:sz="0" w:space="0" w:color="auto"/>
            <w:bottom w:val="none" w:sz="0" w:space="0" w:color="auto"/>
            <w:right w:val="none" w:sz="0" w:space="0" w:color="auto"/>
          </w:divBdr>
        </w:div>
        <w:div w:id="26951833">
          <w:marLeft w:val="0"/>
          <w:marRight w:val="0"/>
          <w:marTop w:val="0"/>
          <w:marBottom w:val="0"/>
          <w:divBdr>
            <w:top w:val="none" w:sz="0" w:space="0" w:color="auto"/>
            <w:left w:val="none" w:sz="0" w:space="0" w:color="auto"/>
            <w:bottom w:val="none" w:sz="0" w:space="0" w:color="auto"/>
            <w:right w:val="none" w:sz="0" w:space="0" w:color="auto"/>
          </w:divBdr>
        </w:div>
        <w:div w:id="63190604">
          <w:marLeft w:val="0"/>
          <w:marRight w:val="0"/>
          <w:marTop w:val="0"/>
          <w:marBottom w:val="0"/>
          <w:divBdr>
            <w:top w:val="none" w:sz="0" w:space="0" w:color="auto"/>
            <w:left w:val="none" w:sz="0" w:space="0" w:color="auto"/>
            <w:bottom w:val="none" w:sz="0" w:space="0" w:color="auto"/>
            <w:right w:val="none" w:sz="0" w:space="0" w:color="auto"/>
          </w:divBdr>
          <w:divsChild>
            <w:div w:id="347415838">
              <w:marLeft w:val="0"/>
              <w:marRight w:val="0"/>
              <w:marTop w:val="0"/>
              <w:marBottom w:val="0"/>
              <w:divBdr>
                <w:top w:val="none" w:sz="0" w:space="0" w:color="auto"/>
                <w:left w:val="none" w:sz="0" w:space="0" w:color="auto"/>
                <w:bottom w:val="none" w:sz="0" w:space="0" w:color="auto"/>
                <w:right w:val="none" w:sz="0" w:space="0" w:color="auto"/>
              </w:divBdr>
            </w:div>
            <w:div w:id="453600743">
              <w:marLeft w:val="0"/>
              <w:marRight w:val="0"/>
              <w:marTop w:val="0"/>
              <w:marBottom w:val="0"/>
              <w:divBdr>
                <w:top w:val="none" w:sz="0" w:space="0" w:color="auto"/>
                <w:left w:val="none" w:sz="0" w:space="0" w:color="auto"/>
                <w:bottom w:val="none" w:sz="0" w:space="0" w:color="auto"/>
                <w:right w:val="none" w:sz="0" w:space="0" w:color="auto"/>
              </w:divBdr>
            </w:div>
            <w:div w:id="1258055376">
              <w:marLeft w:val="0"/>
              <w:marRight w:val="0"/>
              <w:marTop w:val="0"/>
              <w:marBottom w:val="0"/>
              <w:divBdr>
                <w:top w:val="none" w:sz="0" w:space="0" w:color="auto"/>
                <w:left w:val="none" w:sz="0" w:space="0" w:color="auto"/>
                <w:bottom w:val="none" w:sz="0" w:space="0" w:color="auto"/>
                <w:right w:val="none" w:sz="0" w:space="0" w:color="auto"/>
              </w:divBdr>
            </w:div>
            <w:div w:id="1395084812">
              <w:marLeft w:val="0"/>
              <w:marRight w:val="0"/>
              <w:marTop w:val="0"/>
              <w:marBottom w:val="0"/>
              <w:divBdr>
                <w:top w:val="none" w:sz="0" w:space="0" w:color="auto"/>
                <w:left w:val="none" w:sz="0" w:space="0" w:color="auto"/>
                <w:bottom w:val="none" w:sz="0" w:space="0" w:color="auto"/>
                <w:right w:val="none" w:sz="0" w:space="0" w:color="auto"/>
              </w:divBdr>
            </w:div>
            <w:div w:id="1538467967">
              <w:marLeft w:val="0"/>
              <w:marRight w:val="0"/>
              <w:marTop w:val="0"/>
              <w:marBottom w:val="0"/>
              <w:divBdr>
                <w:top w:val="none" w:sz="0" w:space="0" w:color="auto"/>
                <w:left w:val="none" w:sz="0" w:space="0" w:color="auto"/>
                <w:bottom w:val="none" w:sz="0" w:space="0" w:color="auto"/>
                <w:right w:val="none" w:sz="0" w:space="0" w:color="auto"/>
              </w:divBdr>
            </w:div>
          </w:divsChild>
        </w:div>
        <w:div w:id="66807236">
          <w:marLeft w:val="0"/>
          <w:marRight w:val="0"/>
          <w:marTop w:val="0"/>
          <w:marBottom w:val="0"/>
          <w:divBdr>
            <w:top w:val="none" w:sz="0" w:space="0" w:color="auto"/>
            <w:left w:val="none" w:sz="0" w:space="0" w:color="auto"/>
            <w:bottom w:val="none" w:sz="0" w:space="0" w:color="auto"/>
            <w:right w:val="none" w:sz="0" w:space="0" w:color="auto"/>
          </w:divBdr>
        </w:div>
        <w:div w:id="68428657">
          <w:marLeft w:val="0"/>
          <w:marRight w:val="0"/>
          <w:marTop w:val="0"/>
          <w:marBottom w:val="0"/>
          <w:divBdr>
            <w:top w:val="none" w:sz="0" w:space="0" w:color="auto"/>
            <w:left w:val="none" w:sz="0" w:space="0" w:color="auto"/>
            <w:bottom w:val="none" w:sz="0" w:space="0" w:color="auto"/>
            <w:right w:val="none" w:sz="0" w:space="0" w:color="auto"/>
          </w:divBdr>
        </w:div>
        <w:div w:id="72817745">
          <w:marLeft w:val="0"/>
          <w:marRight w:val="0"/>
          <w:marTop w:val="0"/>
          <w:marBottom w:val="0"/>
          <w:divBdr>
            <w:top w:val="none" w:sz="0" w:space="0" w:color="auto"/>
            <w:left w:val="none" w:sz="0" w:space="0" w:color="auto"/>
            <w:bottom w:val="none" w:sz="0" w:space="0" w:color="auto"/>
            <w:right w:val="none" w:sz="0" w:space="0" w:color="auto"/>
          </w:divBdr>
        </w:div>
        <w:div w:id="75636897">
          <w:marLeft w:val="0"/>
          <w:marRight w:val="0"/>
          <w:marTop w:val="0"/>
          <w:marBottom w:val="0"/>
          <w:divBdr>
            <w:top w:val="none" w:sz="0" w:space="0" w:color="auto"/>
            <w:left w:val="none" w:sz="0" w:space="0" w:color="auto"/>
            <w:bottom w:val="none" w:sz="0" w:space="0" w:color="auto"/>
            <w:right w:val="none" w:sz="0" w:space="0" w:color="auto"/>
          </w:divBdr>
        </w:div>
        <w:div w:id="94181931">
          <w:marLeft w:val="0"/>
          <w:marRight w:val="0"/>
          <w:marTop w:val="0"/>
          <w:marBottom w:val="0"/>
          <w:divBdr>
            <w:top w:val="none" w:sz="0" w:space="0" w:color="auto"/>
            <w:left w:val="none" w:sz="0" w:space="0" w:color="auto"/>
            <w:bottom w:val="none" w:sz="0" w:space="0" w:color="auto"/>
            <w:right w:val="none" w:sz="0" w:space="0" w:color="auto"/>
          </w:divBdr>
        </w:div>
        <w:div w:id="102041045">
          <w:marLeft w:val="0"/>
          <w:marRight w:val="0"/>
          <w:marTop w:val="0"/>
          <w:marBottom w:val="0"/>
          <w:divBdr>
            <w:top w:val="none" w:sz="0" w:space="0" w:color="auto"/>
            <w:left w:val="none" w:sz="0" w:space="0" w:color="auto"/>
            <w:bottom w:val="none" w:sz="0" w:space="0" w:color="auto"/>
            <w:right w:val="none" w:sz="0" w:space="0" w:color="auto"/>
          </w:divBdr>
        </w:div>
        <w:div w:id="110591012">
          <w:marLeft w:val="0"/>
          <w:marRight w:val="0"/>
          <w:marTop w:val="0"/>
          <w:marBottom w:val="0"/>
          <w:divBdr>
            <w:top w:val="none" w:sz="0" w:space="0" w:color="auto"/>
            <w:left w:val="none" w:sz="0" w:space="0" w:color="auto"/>
            <w:bottom w:val="none" w:sz="0" w:space="0" w:color="auto"/>
            <w:right w:val="none" w:sz="0" w:space="0" w:color="auto"/>
          </w:divBdr>
        </w:div>
        <w:div w:id="118645473">
          <w:marLeft w:val="0"/>
          <w:marRight w:val="0"/>
          <w:marTop w:val="0"/>
          <w:marBottom w:val="0"/>
          <w:divBdr>
            <w:top w:val="none" w:sz="0" w:space="0" w:color="auto"/>
            <w:left w:val="none" w:sz="0" w:space="0" w:color="auto"/>
            <w:bottom w:val="none" w:sz="0" w:space="0" w:color="auto"/>
            <w:right w:val="none" w:sz="0" w:space="0" w:color="auto"/>
          </w:divBdr>
        </w:div>
        <w:div w:id="122239368">
          <w:marLeft w:val="0"/>
          <w:marRight w:val="0"/>
          <w:marTop w:val="0"/>
          <w:marBottom w:val="0"/>
          <w:divBdr>
            <w:top w:val="none" w:sz="0" w:space="0" w:color="auto"/>
            <w:left w:val="none" w:sz="0" w:space="0" w:color="auto"/>
            <w:bottom w:val="none" w:sz="0" w:space="0" w:color="auto"/>
            <w:right w:val="none" w:sz="0" w:space="0" w:color="auto"/>
          </w:divBdr>
          <w:divsChild>
            <w:div w:id="233710118">
              <w:marLeft w:val="0"/>
              <w:marRight w:val="0"/>
              <w:marTop w:val="0"/>
              <w:marBottom w:val="0"/>
              <w:divBdr>
                <w:top w:val="none" w:sz="0" w:space="0" w:color="auto"/>
                <w:left w:val="none" w:sz="0" w:space="0" w:color="auto"/>
                <w:bottom w:val="none" w:sz="0" w:space="0" w:color="auto"/>
                <w:right w:val="none" w:sz="0" w:space="0" w:color="auto"/>
              </w:divBdr>
            </w:div>
            <w:div w:id="303856219">
              <w:marLeft w:val="0"/>
              <w:marRight w:val="0"/>
              <w:marTop w:val="0"/>
              <w:marBottom w:val="0"/>
              <w:divBdr>
                <w:top w:val="none" w:sz="0" w:space="0" w:color="auto"/>
                <w:left w:val="none" w:sz="0" w:space="0" w:color="auto"/>
                <w:bottom w:val="none" w:sz="0" w:space="0" w:color="auto"/>
                <w:right w:val="none" w:sz="0" w:space="0" w:color="auto"/>
              </w:divBdr>
            </w:div>
            <w:div w:id="503517802">
              <w:marLeft w:val="0"/>
              <w:marRight w:val="0"/>
              <w:marTop w:val="0"/>
              <w:marBottom w:val="0"/>
              <w:divBdr>
                <w:top w:val="none" w:sz="0" w:space="0" w:color="auto"/>
                <w:left w:val="none" w:sz="0" w:space="0" w:color="auto"/>
                <w:bottom w:val="none" w:sz="0" w:space="0" w:color="auto"/>
                <w:right w:val="none" w:sz="0" w:space="0" w:color="auto"/>
              </w:divBdr>
            </w:div>
            <w:div w:id="619915911">
              <w:marLeft w:val="0"/>
              <w:marRight w:val="0"/>
              <w:marTop w:val="0"/>
              <w:marBottom w:val="0"/>
              <w:divBdr>
                <w:top w:val="none" w:sz="0" w:space="0" w:color="auto"/>
                <w:left w:val="none" w:sz="0" w:space="0" w:color="auto"/>
                <w:bottom w:val="none" w:sz="0" w:space="0" w:color="auto"/>
                <w:right w:val="none" w:sz="0" w:space="0" w:color="auto"/>
              </w:divBdr>
            </w:div>
            <w:div w:id="1582786354">
              <w:marLeft w:val="0"/>
              <w:marRight w:val="0"/>
              <w:marTop w:val="0"/>
              <w:marBottom w:val="0"/>
              <w:divBdr>
                <w:top w:val="none" w:sz="0" w:space="0" w:color="auto"/>
                <w:left w:val="none" w:sz="0" w:space="0" w:color="auto"/>
                <w:bottom w:val="none" w:sz="0" w:space="0" w:color="auto"/>
                <w:right w:val="none" w:sz="0" w:space="0" w:color="auto"/>
              </w:divBdr>
            </w:div>
          </w:divsChild>
        </w:div>
        <w:div w:id="125246929">
          <w:marLeft w:val="0"/>
          <w:marRight w:val="0"/>
          <w:marTop w:val="0"/>
          <w:marBottom w:val="0"/>
          <w:divBdr>
            <w:top w:val="none" w:sz="0" w:space="0" w:color="auto"/>
            <w:left w:val="none" w:sz="0" w:space="0" w:color="auto"/>
            <w:bottom w:val="none" w:sz="0" w:space="0" w:color="auto"/>
            <w:right w:val="none" w:sz="0" w:space="0" w:color="auto"/>
          </w:divBdr>
        </w:div>
        <w:div w:id="128061748">
          <w:marLeft w:val="0"/>
          <w:marRight w:val="0"/>
          <w:marTop w:val="0"/>
          <w:marBottom w:val="0"/>
          <w:divBdr>
            <w:top w:val="none" w:sz="0" w:space="0" w:color="auto"/>
            <w:left w:val="none" w:sz="0" w:space="0" w:color="auto"/>
            <w:bottom w:val="none" w:sz="0" w:space="0" w:color="auto"/>
            <w:right w:val="none" w:sz="0" w:space="0" w:color="auto"/>
          </w:divBdr>
        </w:div>
        <w:div w:id="147677333">
          <w:marLeft w:val="0"/>
          <w:marRight w:val="0"/>
          <w:marTop w:val="0"/>
          <w:marBottom w:val="0"/>
          <w:divBdr>
            <w:top w:val="none" w:sz="0" w:space="0" w:color="auto"/>
            <w:left w:val="none" w:sz="0" w:space="0" w:color="auto"/>
            <w:bottom w:val="none" w:sz="0" w:space="0" w:color="auto"/>
            <w:right w:val="none" w:sz="0" w:space="0" w:color="auto"/>
          </w:divBdr>
        </w:div>
        <w:div w:id="166553651">
          <w:marLeft w:val="0"/>
          <w:marRight w:val="0"/>
          <w:marTop w:val="0"/>
          <w:marBottom w:val="0"/>
          <w:divBdr>
            <w:top w:val="none" w:sz="0" w:space="0" w:color="auto"/>
            <w:left w:val="none" w:sz="0" w:space="0" w:color="auto"/>
            <w:bottom w:val="none" w:sz="0" w:space="0" w:color="auto"/>
            <w:right w:val="none" w:sz="0" w:space="0" w:color="auto"/>
          </w:divBdr>
        </w:div>
        <w:div w:id="189953786">
          <w:marLeft w:val="0"/>
          <w:marRight w:val="0"/>
          <w:marTop w:val="0"/>
          <w:marBottom w:val="0"/>
          <w:divBdr>
            <w:top w:val="none" w:sz="0" w:space="0" w:color="auto"/>
            <w:left w:val="none" w:sz="0" w:space="0" w:color="auto"/>
            <w:bottom w:val="none" w:sz="0" w:space="0" w:color="auto"/>
            <w:right w:val="none" w:sz="0" w:space="0" w:color="auto"/>
          </w:divBdr>
        </w:div>
        <w:div w:id="269355951">
          <w:marLeft w:val="0"/>
          <w:marRight w:val="0"/>
          <w:marTop w:val="0"/>
          <w:marBottom w:val="0"/>
          <w:divBdr>
            <w:top w:val="none" w:sz="0" w:space="0" w:color="auto"/>
            <w:left w:val="none" w:sz="0" w:space="0" w:color="auto"/>
            <w:bottom w:val="none" w:sz="0" w:space="0" w:color="auto"/>
            <w:right w:val="none" w:sz="0" w:space="0" w:color="auto"/>
          </w:divBdr>
        </w:div>
        <w:div w:id="271403113">
          <w:marLeft w:val="0"/>
          <w:marRight w:val="0"/>
          <w:marTop w:val="0"/>
          <w:marBottom w:val="0"/>
          <w:divBdr>
            <w:top w:val="none" w:sz="0" w:space="0" w:color="auto"/>
            <w:left w:val="none" w:sz="0" w:space="0" w:color="auto"/>
            <w:bottom w:val="none" w:sz="0" w:space="0" w:color="auto"/>
            <w:right w:val="none" w:sz="0" w:space="0" w:color="auto"/>
          </w:divBdr>
        </w:div>
        <w:div w:id="271863943">
          <w:marLeft w:val="0"/>
          <w:marRight w:val="0"/>
          <w:marTop w:val="0"/>
          <w:marBottom w:val="0"/>
          <w:divBdr>
            <w:top w:val="none" w:sz="0" w:space="0" w:color="auto"/>
            <w:left w:val="none" w:sz="0" w:space="0" w:color="auto"/>
            <w:bottom w:val="none" w:sz="0" w:space="0" w:color="auto"/>
            <w:right w:val="none" w:sz="0" w:space="0" w:color="auto"/>
          </w:divBdr>
        </w:div>
        <w:div w:id="284390043">
          <w:marLeft w:val="0"/>
          <w:marRight w:val="0"/>
          <w:marTop w:val="0"/>
          <w:marBottom w:val="0"/>
          <w:divBdr>
            <w:top w:val="none" w:sz="0" w:space="0" w:color="auto"/>
            <w:left w:val="none" w:sz="0" w:space="0" w:color="auto"/>
            <w:bottom w:val="none" w:sz="0" w:space="0" w:color="auto"/>
            <w:right w:val="none" w:sz="0" w:space="0" w:color="auto"/>
          </w:divBdr>
        </w:div>
        <w:div w:id="291983132">
          <w:marLeft w:val="0"/>
          <w:marRight w:val="0"/>
          <w:marTop w:val="0"/>
          <w:marBottom w:val="0"/>
          <w:divBdr>
            <w:top w:val="none" w:sz="0" w:space="0" w:color="auto"/>
            <w:left w:val="none" w:sz="0" w:space="0" w:color="auto"/>
            <w:bottom w:val="none" w:sz="0" w:space="0" w:color="auto"/>
            <w:right w:val="none" w:sz="0" w:space="0" w:color="auto"/>
          </w:divBdr>
        </w:div>
        <w:div w:id="302541870">
          <w:marLeft w:val="0"/>
          <w:marRight w:val="0"/>
          <w:marTop w:val="0"/>
          <w:marBottom w:val="0"/>
          <w:divBdr>
            <w:top w:val="none" w:sz="0" w:space="0" w:color="auto"/>
            <w:left w:val="none" w:sz="0" w:space="0" w:color="auto"/>
            <w:bottom w:val="none" w:sz="0" w:space="0" w:color="auto"/>
            <w:right w:val="none" w:sz="0" w:space="0" w:color="auto"/>
          </w:divBdr>
        </w:div>
        <w:div w:id="304043745">
          <w:marLeft w:val="0"/>
          <w:marRight w:val="0"/>
          <w:marTop w:val="0"/>
          <w:marBottom w:val="0"/>
          <w:divBdr>
            <w:top w:val="none" w:sz="0" w:space="0" w:color="auto"/>
            <w:left w:val="none" w:sz="0" w:space="0" w:color="auto"/>
            <w:bottom w:val="none" w:sz="0" w:space="0" w:color="auto"/>
            <w:right w:val="none" w:sz="0" w:space="0" w:color="auto"/>
          </w:divBdr>
        </w:div>
        <w:div w:id="332420136">
          <w:marLeft w:val="0"/>
          <w:marRight w:val="0"/>
          <w:marTop w:val="0"/>
          <w:marBottom w:val="0"/>
          <w:divBdr>
            <w:top w:val="none" w:sz="0" w:space="0" w:color="auto"/>
            <w:left w:val="none" w:sz="0" w:space="0" w:color="auto"/>
            <w:bottom w:val="none" w:sz="0" w:space="0" w:color="auto"/>
            <w:right w:val="none" w:sz="0" w:space="0" w:color="auto"/>
          </w:divBdr>
        </w:div>
        <w:div w:id="368074590">
          <w:marLeft w:val="0"/>
          <w:marRight w:val="0"/>
          <w:marTop w:val="0"/>
          <w:marBottom w:val="0"/>
          <w:divBdr>
            <w:top w:val="none" w:sz="0" w:space="0" w:color="auto"/>
            <w:left w:val="none" w:sz="0" w:space="0" w:color="auto"/>
            <w:bottom w:val="none" w:sz="0" w:space="0" w:color="auto"/>
            <w:right w:val="none" w:sz="0" w:space="0" w:color="auto"/>
          </w:divBdr>
        </w:div>
        <w:div w:id="373622304">
          <w:marLeft w:val="0"/>
          <w:marRight w:val="0"/>
          <w:marTop w:val="0"/>
          <w:marBottom w:val="0"/>
          <w:divBdr>
            <w:top w:val="none" w:sz="0" w:space="0" w:color="auto"/>
            <w:left w:val="none" w:sz="0" w:space="0" w:color="auto"/>
            <w:bottom w:val="none" w:sz="0" w:space="0" w:color="auto"/>
            <w:right w:val="none" w:sz="0" w:space="0" w:color="auto"/>
          </w:divBdr>
        </w:div>
        <w:div w:id="380403427">
          <w:marLeft w:val="0"/>
          <w:marRight w:val="0"/>
          <w:marTop w:val="0"/>
          <w:marBottom w:val="0"/>
          <w:divBdr>
            <w:top w:val="none" w:sz="0" w:space="0" w:color="auto"/>
            <w:left w:val="none" w:sz="0" w:space="0" w:color="auto"/>
            <w:bottom w:val="none" w:sz="0" w:space="0" w:color="auto"/>
            <w:right w:val="none" w:sz="0" w:space="0" w:color="auto"/>
          </w:divBdr>
        </w:div>
        <w:div w:id="383141887">
          <w:marLeft w:val="0"/>
          <w:marRight w:val="0"/>
          <w:marTop w:val="0"/>
          <w:marBottom w:val="0"/>
          <w:divBdr>
            <w:top w:val="none" w:sz="0" w:space="0" w:color="auto"/>
            <w:left w:val="none" w:sz="0" w:space="0" w:color="auto"/>
            <w:bottom w:val="none" w:sz="0" w:space="0" w:color="auto"/>
            <w:right w:val="none" w:sz="0" w:space="0" w:color="auto"/>
          </w:divBdr>
        </w:div>
        <w:div w:id="394671045">
          <w:marLeft w:val="0"/>
          <w:marRight w:val="0"/>
          <w:marTop w:val="0"/>
          <w:marBottom w:val="0"/>
          <w:divBdr>
            <w:top w:val="none" w:sz="0" w:space="0" w:color="auto"/>
            <w:left w:val="none" w:sz="0" w:space="0" w:color="auto"/>
            <w:bottom w:val="none" w:sz="0" w:space="0" w:color="auto"/>
            <w:right w:val="none" w:sz="0" w:space="0" w:color="auto"/>
          </w:divBdr>
        </w:div>
        <w:div w:id="405998508">
          <w:marLeft w:val="0"/>
          <w:marRight w:val="0"/>
          <w:marTop w:val="0"/>
          <w:marBottom w:val="0"/>
          <w:divBdr>
            <w:top w:val="none" w:sz="0" w:space="0" w:color="auto"/>
            <w:left w:val="none" w:sz="0" w:space="0" w:color="auto"/>
            <w:bottom w:val="none" w:sz="0" w:space="0" w:color="auto"/>
            <w:right w:val="none" w:sz="0" w:space="0" w:color="auto"/>
          </w:divBdr>
        </w:div>
        <w:div w:id="408039466">
          <w:marLeft w:val="0"/>
          <w:marRight w:val="0"/>
          <w:marTop w:val="0"/>
          <w:marBottom w:val="0"/>
          <w:divBdr>
            <w:top w:val="none" w:sz="0" w:space="0" w:color="auto"/>
            <w:left w:val="none" w:sz="0" w:space="0" w:color="auto"/>
            <w:bottom w:val="none" w:sz="0" w:space="0" w:color="auto"/>
            <w:right w:val="none" w:sz="0" w:space="0" w:color="auto"/>
          </w:divBdr>
        </w:div>
        <w:div w:id="414016225">
          <w:marLeft w:val="0"/>
          <w:marRight w:val="0"/>
          <w:marTop w:val="0"/>
          <w:marBottom w:val="0"/>
          <w:divBdr>
            <w:top w:val="none" w:sz="0" w:space="0" w:color="auto"/>
            <w:left w:val="none" w:sz="0" w:space="0" w:color="auto"/>
            <w:bottom w:val="none" w:sz="0" w:space="0" w:color="auto"/>
            <w:right w:val="none" w:sz="0" w:space="0" w:color="auto"/>
          </w:divBdr>
        </w:div>
        <w:div w:id="421026043">
          <w:marLeft w:val="0"/>
          <w:marRight w:val="0"/>
          <w:marTop w:val="0"/>
          <w:marBottom w:val="0"/>
          <w:divBdr>
            <w:top w:val="none" w:sz="0" w:space="0" w:color="auto"/>
            <w:left w:val="none" w:sz="0" w:space="0" w:color="auto"/>
            <w:bottom w:val="none" w:sz="0" w:space="0" w:color="auto"/>
            <w:right w:val="none" w:sz="0" w:space="0" w:color="auto"/>
          </w:divBdr>
        </w:div>
        <w:div w:id="481123742">
          <w:marLeft w:val="0"/>
          <w:marRight w:val="0"/>
          <w:marTop w:val="0"/>
          <w:marBottom w:val="0"/>
          <w:divBdr>
            <w:top w:val="none" w:sz="0" w:space="0" w:color="auto"/>
            <w:left w:val="none" w:sz="0" w:space="0" w:color="auto"/>
            <w:bottom w:val="none" w:sz="0" w:space="0" w:color="auto"/>
            <w:right w:val="none" w:sz="0" w:space="0" w:color="auto"/>
          </w:divBdr>
        </w:div>
        <w:div w:id="494495765">
          <w:marLeft w:val="0"/>
          <w:marRight w:val="0"/>
          <w:marTop w:val="0"/>
          <w:marBottom w:val="0"/>
          <w:divBdr>
            <w:top w:val="none" w:sz="0" w:space="0" w:color="auto"/>
            <w:left w:val="none" w:sz="0" w:space="0" w:color="auto"/>
            <w:bottom w:val="none" w:sz="0" w:space="0" w:color="auto"/>
            <w:right w:val="none" w:sz="0" w:space="0" w:color="auto"/>
          </w:divBdr>
        </w:div>
        <w:div w:id="495658353">
          <w:marLeft w:val="0"/>
          <w:marRight w:val="0"/>
          <w:marTop w:val="0"/>
          <w:marBottom w:val="0"/>
          <w:divBdr>
            <w:top w:val="none" w:sz="0" w:space="0" w:color="auto"/>
            <w:left w:val="none" w:sz="0" w:space="0" w:color="auto"/>
            <w:bottom w:val="none" w:sz="0" w:space="0" w:color="auto"/>
            <w:right w:val="none" w:sz="0" w:space="0" w:color="auto"/>
          </w:divBdr>
        </w:div>
        <w:div w:id="496728320">
          <w:marLeft w:val="0"/>
          <w:marRight w:val="0"/>
          <w:marTop w:val="0"/>
          <w:marBottom w:val="0"/>
          <w:divBdr>
            <w:top w:val="none" w:sz="0" w:space="0" w:color="auto"/>
            <w:left w:val="none" w:sz="0" w:space="0" w:color="auto"/>
            <w:bottom w:val="none" w:sz="0" w:space="0" w:color="auto"/>
            <w:right w:val="none" w:sz="0" w:space="0" w:color="auto"/>
          </w:divBdr>
        </w:div>
        <w:div w:id="509375583">
          <w:marLeft w:val="0"/>
          <w:marRight w:val="0"/>
          <w:marTop w:val="0"/>
          <w:marBottom w:val="0"/>
          <w:divBdr>
            <w:top w:val="none" w:sz="0" w:space="0" w:color="auto"/>
            <w:left w:val="none" w:sz="0" w:space="0" w:color="auto"/>
            <w:bottom w:val="none" w:sz="0" w:space="0" w:color="auto"/>
            <w:right w:val="none" w:sz="0" w:space="0" w:color="auto"/>
          </w:divBdr>
        </w:div>
        <w:div w:id="522060143">
          <w:marLeft w:val="0"/>
          <w:marRight w:val="0"/>
          <w:marTop w:val="0"/>
          <w:marBottom w:val="0"/>
          <w:divBdr>
            <w:top w:val="none" w:sz="0" w:space="0" w:color="auto"/>
            <w:left w:val="none" w:sz="0" w:space="0" w:color="auto"/>
            <w:bottom w:val="none" w:sz="0" w:space="0" w:color="auto"/>
            <w:right w:val="none" w:sz="0" w:space="0" w:color="auto"/>
          </w:divBdr>
        </w:div>
        <w:div w:id="537086784">
          <w:marLeft w:val="0"/>
          <w:marRight w:val="0"/>
          <w:marTop w:val="0"/>
          <w:marBottom w:val="0"/>
          <w:divBdr>
            <w:top w:val="none" w:sz="0" w:space="0" w:color="auto"/>
            <w:left w:val="none" w:sz="0" w:space="0" w:color="auto"/>
            <w:bottom w:val="none" w:sz="0" w:space="0" w:color="auto"/>
            <w:right w:val="none" w:sz="0" w:space="0" w:color="auto"/>
          </w:divBdr>
        </w:div>
        <w:div w:id="546837572">
          <w:marLeft w:val="0"/>
          <w:marRight w:val="0"/>
          <w:marTop w:val="0"/>
          <w:marBottom w:val="0"/>
          <w:divBdr>
            <w:top w:val="none" w:sz="0" w:space="0" w:color="auto"/>
            <w:left w:val="none" w:sz="0" w:space="0" w:color="auto"/>
            <w:bottom w:val="none" w:sz="0" w:space="0" w:color="auto"/>
            <w:right w:val="none" w:sz="0" w:space="0" w:color="auto"/>
          </w:divBdr>
        </w:div>
        <w:div w:id="555166329">
          <w:marLeft w:val="0"/>
          <w:marRight w:val="0"/>
          <w:marTop w:val="0"/>
          <w:marBottom w:val="0"/>
          <w:divBdr>
            <w:top w:val="none" w:sz="0" w:space="0" w:color="auto"/>
            <w:left w:val="none" w:sz="0" w:space="0" w:color="auto"/>
            <w:bottom w:val="none" w:sz="0" w:space="0" w:color="auto"/>
            <w:right w:val="none" w:sz="0" w:space="0" w:color="auto"/>
          </w:divBdr>
        </w:div>
        <w:div w:id="583412686">
          <w:marLeft w:val="0"/>
          <w:marRight w:val="0"/>
          <w:marTop w:val="0"/>
          <w:marBottom w:val="0"/>
          <w:divBdr>
            <w:top w:val="none" w:sz="0" w:space="0" w:color="auto"/>
            <w:left w:val="none" w:sz="0" w:space="0" w:color="auto"/>
            <w:bottom w:val="none" w:sz="0" w:space="0" w:color="auto"/>
            <w:right w:val="none" w:sz="0" w:space="0" w:color="auto"/>
          </w:divBdr>
        </w:div>
        <w:div w:id="598220753">
          <w:marLeft w:val="0"/>
          <w:marRight w:val="0"/>
          <w:marTop w:val="0"/>
          <w:marBottom w:val="0"/>
          <w:divBdr>
            <w:top w:val="none" w:sz="0" w:space="0" w:color="auto"/>
            <w:left w:val="none" w:sz="0" w:space="0" w:color="auto"/>
            <w:bottom w:val="none" w:sz="0" w:space="0" w:color="auto"/>
            <w:right w:val="none" w:sz="0" w:space="0" w:color="auto"/>
          </w:divBdr>
        </w:div>
        <w:div w:id="603878084">
          <w:marLeft w:val="0"/>
          <w:marRight w:val="0"/>
          <w:marTop w:val="0"/>
          <w:marBottom w:val="0"/>
          <w:divBdr>
            <w:top w:val="none" w:sz="0" w:space="0" w:color="auto"/>
            <w:left w:val="none" w:sz="0" w:space="0" w:color="auto"/>
            <w:bottom w:val="none" w:sz="0" w:space="0" w:color="auto"/>
            <w:right w:val="none" w:sz="0" w:space="0" w:color="auto"/>
          </w:divBdr>
        </w:div>
        <w:div w:id="652491596">
          <w:marLeft w:val="0"/>
          <w:marRight w:val="0"/>
          <w:marTop w:val="0"/>
          <w:marBottom w:val="0"/>
          <w:divBdr>
            <w:top w:val="none" w:sz="0" w:space="0" w:color="auto"/>
            <w:left w:val="none" w:sz="0" w:space="0" w:color="auto"/>
            <w:bottom w:val="none" w:sz="0" w:space="0" w:color="auto"/>
            <w:right w:val="none" w:sz="0" w:space="0" w:color="auto"/>
          </w:divBdr>
        </w:div>
        <w:div w:id="654065718">
          <w:marLeft w:val="0"/>
          <w:marRight w:val="0"/>
          <w:marTop w:val="0"/>
          <w:marBottom w:val="0"/>
          <w:divBdr>
            <w:top w:val="none" w:sz="0" w:space="0" w:color="auto"/>
            <w:left w:val="none" w:sz="0" w:space="0" w:color="auto"/>
            <w:bottom w:val="none" w:sz="0" w:space="0" w:color="auto"/>
            <w:right w:val="none" w:sz="0" w:space="0" w:color="auto"/>
          </w:divBdr>
        </w:div>
        <w:div w:id="657656802">
          <w:marLeft w:val="0"/>
          <w:marRight w:val="0"/>
          <w:marTop w:val="0"/>
          <w:marBottom w:val="0"/>
          <w:divBdr>
            <w:top w:val="none" w:sz="0" w:space="0" w:color="auto"/>
            <w:left w:val="none" w:sz="0" w:space="0" w:color="auto"/>
            <w:bottom w:val="none" w:sz="0" w:space="0" w:color="auto"/>
            <w:right w:val="none" w:sz="0" w:space="0" w:color="auto"/>
          </w:divBdr>
        </w:div>
        <w:div w:id="660163552">
          <w:marLeft w:val="0"/>
          <w:marRight w:val="0"/>
          <w:marTop w:val="0"/>
          <w:marBottom w:val="0"/>
          <w:divBdr>
            <w:top w:val="none" w:sz="0" w:space="0" w:color="auto"/>
            <w:left w:val="none" w:sz="0" w:space="0" w:color="auto"/>
            <w:bottom w:val="none" w:sz="0" w:space="0" w:color="auto"/>
            <w:right w:val="none" w:sz="0" w:space="0" w:color="auto"/>
          </w:divBdr>
        </w:div>
        <w:div w:id="660813984">
          <w:marLeft w:val="0"/>
          <w:marRight w:val="0"/>
          <w:marTop w:val="0"/>
          <w:marBottom w:val="0"/>
          <w:divBdr>
            <w:top w:val="none" w:sz="0" w:space="0" w:color="auto"/>
            <w:left w:val="none" w:sz="0" w:space="0" w:color="auto"/>
            <w:bottom w:val="none" w:sz="0" w:space="0" w:color="auto"/>
            <w:right w:val="none" w:sz="0" w:space="0" w:color="auto"/>
          </w:divBdr>
        </w:div>
        <w:div w:id="704672674">
          <w:marLeft w:val="0"/>
          <w:marRight w:val="0"/>
          <w:marTop w:val="0"/>
          <w:marBottom w:val="0"/>
          <w:divBdr>
            <w:top w:val="none" w:sz="0" w:space="0" w:color="auto"/>
            <w:left w:val="none" w:sz="0" w:space="0" w:color="auto"/>
            <w:bottom w:val="none" w:sz="0" w:space="0" w:color="auto"/>
            <w:right w:val="none" w:sz="0" w:space="0" w:color="auto"/>
          </w:divBdr>
        </w:div>
        <w:div w:id="716858538">
          <w:marLeft w:val="0"/>
          <w:marRight w:val="0"/>
          <w:marTop w:val="0"/>
          <w:marBottom w:val="0"/>
          <w:divBdr>
            <w:top w:val="none" w:sz="0" w:space="0" w:color="auto"/>
            <w:left w:val="none" w:sz="0" w:space="0" w:color="auto"/>
            <w:bottom w:val="none" w:sz="0" w:space="0" w:color="auto"/>
            <w:right w:val="none" w:sz="0" w:space="0" w:color="auto"/>
          </w:divBdr>
        </w:div>
        <w:div w:id="752975136">
          <w:marLeft w:val="0"/>
          <w:marRight w:val="0"/>
          <w:marTop w:val="0"/>
          <w:marBottom w:val="0"/>
          <w:divBdr>
            <w:top w:val="none" w:sz="0" w:space="0" w:color="auto"/>
            <w:left w:val="none" w:sz="0" w:space="0" w:color="auto"/>
            <w:bottom w:val="none" w:sz="0" w:space="0" w:color="auto"/>
            <w:right w:val="none" w:sz="0" w:space="0" w:color="auto"/>
          </w:divBdr>
        </w:div>
        <w:div w:id="819536488">
          <w:marLeft w:val="0"/>
          <w:marRight w:val="0"/>
          <w:marTop w:val="0"/>
          <w:marBottom w:val="0"/>
          <w:divBdr>
            <w:top w:val="none" w:sz="0" w:space="0" w:color="auto"/>
            <w:left w:val="none" w:sz="0" w:space="0" w:color="auto"/>
            <w:bottom w:val="none" w:sz="0" w:space="0" w:color="auto"/>
            <w:right w:val="none" w:sz="0" w:space="0" w:color="auto"/>
          </w:divBdr>
        </w:div>
        <w:div w:id="876308386">
          <w:marLeft w:val="0"/>
          <w:marRight w:val="0"/>
          <w:marTop w:val="0"/>
          <w:marBottom w:val="0"/>
          <w:divBdr>
            <w:top w:val="none" w:sz="0" w:space="0" w:color="auto"/>
            <w:left w:val="none" w:sz="0" w:space="0" w:color="auto"/>
            <w:bottom w:val="none" w:sz="0" w:space="0" w:color="auto"/>
            <w:right w:val="none" w:sz="0" w:space="0" w:color="auto"/>
          </w:divBdr>
        </w:div>
        <w:div w:id="881206979">
          <w:marLeft w:val="0"/>
          <w:marRight w:val="0"/>
          <w:marTop w:val="0"/>
          <w:marBottom w:val="0"/>
          <w:divBdr>
            <w:top w:val="none" w:sz="0" w:space="0" w:color="auto"/>
            <w:left w:val="none" w:sz="0" w:space="0" w:color="auto"/>
            <w:bottom w:val="none" w:sz="0" w:space="0" w:color="auto"/>
            <w:right w:val="none" w:sz="0" w:space="0" w:color="auto"/>
          </w:divBdr>
        </w:div>
        <w:div w:id="928545742">
          <w:marLeft w:val="0"/>
          <w:marRight w:val="0"/>
          <w:marTop w:val="0"/>
          <w:marBottom w:val="0"/>
          <w:divBdr>
            <w:top w:val="none" w:sz="0" w:space="0" w:color="auto"/>
            <w:left w:val="none" w:sz="0" w:space="0" w:color="auto"/>
            <w:bottom w:val="none" w:sz="0" w:space="0" w:color="auto"/>
            <w:right w:val="none" w:sz="0" w:space="0" w:color="auto"/>
          </w:divBdr>
        </w:div>
        <w:div w:id="980694904">
          <w:marLeft w:val="0"/>
          <w:marRight w:val="0"/>
          <w:marTop w:val="0"/>
          <w:marBottom w:val="0"/>
          <w:divBdr>
            <w:top w:val="none" w:sz="0" w:space="0" w:color="auto"/>
            <w:left w:val="none" w:sz="0" w:space="0" w:color="auto"/>
            <w:bottom w:val="none" w:sz="0" w:space="0" w:color="auto"/>
            <w:right w:val="none" w:sz="0" w:space="0" w:color="auto"/>
          </w:divBdr>
        </w:div>
        <w:div w:id="1075663638">
          <w:marLeft w:val="0"/>
          <w:marRight w:val="0"/>
          <w:marTop w:val="0"/>
          <w:marBottom w:val="0"/>
          <w:divBdr>
            <w:top w:val="none" w:sz="0" w:space="0" w:color="auto"/>
            <w:left w:val="none" w:sz="0" w:space="0" w:color="auto"/>
            <w:bottom w:val="none" w:sz="0" w:space="0" w:color="auto"/>
            <w:right w:val="none" w:sz="0" w:space="0" w:color="auto"/>
          </w:divBdr>
        </w:div>
        <w:div w:id="1110052765">
          <w:marLeft w:val="0"/>
          <w:marRight w:val="0"/>
          <w:marTop w:val="0"/>
          <w:marBottom w:val="0"/>
          <w:divBdr>
            <w:top w:val="none" w:sz="0" w:space="0" w:color="auto"/>
            <w:left w:val="none" w:sz="0" w:space="0" w:color="auto"/>
            <w:bottom w:val="none" w:sz="0" w:space="0" w:color="auto"/>
            <w:right w:val="none" w:sz="0" w:space="0" w:color="auto"/>
          </w:divBdr>
        </w:div>
        <w:div w:id="1116023138">
          <w:marLeft w:val="0"/>
          <w:marRight w:val="0"/>
          <w:marTop w:val="0"/>
          <w:marBottom w:val="0"/>
          <w:divBdr>
            <w:top w:val="none" w:sz="0" w:space="0" w:color="auto"/>
            <w:left w:val="none" w:sz="0" w:space="0" w:color="auto"/>
            <w:bottom w:val="none" w:sz="0" w:space="0" w:color="auto"/>
            <w:right w:val="none" w:sz="0" w:space="0" w:color="auto"/>
          </w:divBdr>
        </w:div>
        <w:div w:id="1119295605">
          <w:marLeft w:val="0"/>
          <w:marRight w:val="0"/>
          <w:marTop w:val="0"/>
          <w:marBottom w:val="0"/>
          <w:divBdr>
            <w:top w:val="none" w:sz="0" w:space="0" w:color="auto"/>
            <w:left w:val="none" w:sz="0" w:space="0" w:color="auto"/>
            <w:bottom w:val="none" w:sz="0" w:space="0" w:color="auto"/>
            <w:right w:val="none" w:sz="0" w:space="0" w:color="auto"/>
          </w:divBdr>
        </w:div>
        <w:div w:id="1133641806">
          <w:marLeft w:val="0"/>
          <w:marRight w:val="0"/>
          <w:marTop w:val="0"/>
          <w:marBottom w:val="0"/>
          <w:divBdr>
            <w:top w:val="none" w:sz="0" w:space="0" w:color="auto"/>
            <w:left w:val="none" w:sz="0" w:space="0" w:color="auto"/>
            <w:bottom w:val="none" w:sz="0" w:space="0" w:color="auto"/>
            <w:right w:val="none" w:sz="0" w:space="0" w:color="auto"/>
          </w:divBdr>
        </w:div>
        <w:div w:id="1137838280">
          <w:marLeft w:val="0"/>
          <w:marRight w:val="0"/>
          <w:marTop w:val="0"/>
          <w:marBottom w:val="0"/>
          <w:divBdr>
            <w:top w:val="none" w:sz="0" w:space="0" w:color="auto"/>
            <w:left w:val="none" w:sz="0" w:space="0" w:color="auto"/>
            <w:bottom w:val="none" w:sz="0" w:space="0" w:color="auto"/>
            <w:right w:val="none" w:sz="0" w:space="0" w:color="auto"/>
          </w:divBdr>
        </w:div>
        <w:div w:id="1142846331">
          <w:marLeft w:val="0"/>
          <w:marRight w:val="0"/>
          <w:marTop w:val="0"/>
          <w:marBottom w:val="0"/>
          <w:divBdr>
            <w:top w:val="none" w:sz="0" w:space="0" w:color="auto"/>
            <w:left w:val="none" w:sz="0" w:space="0" w:color="auto"/>
            <w:bottom w:val="none" w:sz="0" w:space="0" w:color="auto"/>
            <w:right w:val="none" w:sz="0" w:space="0" w:color="auto"/>
          </w:divBdr>
        </w:div>
        <w:div w:id="1163854023">
          <w:marLeft w:val="0"/>
          <w:marRight w:val="0"/>
          <w:marTop w:val="0"/>
          <w:marBottom w:val="0"/>
          <w:divBdr>
            <w:top w:val="none" w:sz="0" w:space="0" w:color="auto"/>
            <w:left w:val="none" w:sz="0" w:space="0" w:color="auto"/>
            <w:bottom w:val="none" w:sz="0" w:space="0" w:color="auto"/>
            <w:right w:val="none" w:sz="0" w:space="0" w:color="auto"/>
          </w:divBdr>
        </w:div>
        <w:div w:id="1168205298">
          <w:marLeft w:val="0"/>
          <w:marRight w:val="0"/>
          <w:marTop w:val="0"/>
          <w:marBottom w:val="0"/>
          <w:divBdr>
            <w:top w:val="none" w:sz="0" w:space="0" w:color="auto"/>
            <w:left w:val="none" w:sz="0" w:space="0" w:color="auto"/>
            <w:bottom w:val="none" w:sz="0" w:space="0" w:color="auto"/>
            <w:right w:val="none" w:sz="0" w:space="0" w:color="auto"/>
          </w:divBdr>
        </w:div>
        <w:div w:id="1185023756">
          <w:marLeft w:val="0"/>
          <w:marRight w:val="0"/>
          <w:marTop w:val="0"/>
          <w:marBottom w:val="0"/>
          <w:divBdr>
            <w:top w:val="none" w:sz="0" w:space="0" w:color="auto"/>
            <w:left w:val="none" w:sz="0" w:space="0" w:color="auto"/>
            <w:bottom w:val="none" w:sz="0" w:space="0" w:color="auto"/>
            <w:right w:val="none" w:sz="0" w:space="0" w:color="auto"/>
          </w:divBdr>
        </w:div>
        <w:div w:id="1217858541">
          <w:marLeft w:val="0"/>
          <w:marRight w:val="0"/>
          <w:marTop w:val="0"/>
          <w:marBottom w:val="0"/>
          <w:divBdr>
            <w:top w:val="none" w:sz="0" w:space="0" w:color="auto"/>
            <w:left w:val="none" w:sz="0" w:space="0" w:color="auto"/>
            <w:bottom w:val="none" w:sz="0" w:space="0" w:color="auto"/>
            <w:right w:val="none" w:sz="0" w:space="0" w:color="auto"/>
          </w:divBdr>
        </w:div>
        <w:div w:id="1245650339">
          <w:marLeft w:val="0"/>
          <w:marRight w:val="0"/>
          <w:marTop w:val="0"/>
          <w:marBottom w:val="0"/>
          <w:divBdr>
            <w:top w:val="none" w:sz="0" w:space="0" w:color="auto"/>
            <w:left w:val="none" w:sz="0" w:space="0" w:color="auto"/>
            <w:bottom w:val="none" w:sz="0" w:space="0" w:color="auto"/>
            <w:right w:val="none" w:sz="0" w:space="0" w:color="auto"/>
          </w:divBdr>
        </w:div>
        <w:div w:id="1252739000">
          <w:marLeft w:val="0"/>
          <w:marRight w:val="0"/>
          <w:marTop w:val="0"/>
          <w:marBottom w:val="0"/>
          <w:divBdr>
            <w:top w:val="none" w:sz="0" w:space="0" w:color="auto"/>
            <w:left w:val="none" w:sz="0" w:space="0" w:color="auto"/>
            <w:bottom w:val="none" w:sz="0" w:space="0" w:color="auto"/>
            <w:right w:val="none" w:sz="0" w:space="0" w:color="auto"/>
          </w:divBdr>
        </w:div>
        <w:div w:id="1259828835">
          <w:marLeft w:val="0"/>
          <w:marRight w:val="0"/>
          <w:marTop w:val="0"/>
          <w:marBottom w:val="0"/>
          <w:divBdr>
            <w:top w:val="none" w:sz="0" w:space="0" w:color="auto"/>
            <w:left w:val="none" w:sz="0" w:space="0" w:color="auto"/>
            <w:bottom w:val="none" w:sz="0" w:space="0" w:color="auto"/>
            <w:right w:val="none" w:sz="0" w:space="0" w:color="auto"/>
          </w:divBdr>
        </w:div>
        <w:div w:id="1295602430">
          <w:marLeft w:val="0"/>
          <w:marRight w:val="0"/>
          <w:marTop w:val="0"/>
          <w:marBottom w:val="0"/>
          <w:divBdr>
            <w:top w:val="none" w:sz="0" w:space="0" w:color="auto"/>
            <w:left w:val="none" w:sz="0" w:space="0" w:color="auto"/>
            <w:bottom w:val="none" w:sz="0" w:space="0" w:color="auto"/>
            <w:right w:val="none" w:sz="0" w:space="0" w:color="auto"/>
          </w:divBdr>
        </w:div>
        <w:div w:id="1302224552">
          <w:marLeft w:val="0"/>
          <w:marRight w:val="0"/>
          <w:marTop w:val="0"/>
          <w:marBottom w:val="0"/>
          <w:divBdr>
            <w:top w:val="none" w:sz="0" w:space="0" w:color="auto"/>
            <w:left w:val="none" w:sz="0" w:space="0" w:color="auto"/>
            <w:bottom w:val="none" w:sz="0" w:space="0" w:color="auto"/>
            <w:right w:val="none" w:sz="0" w:space="0" w:color="auto"/>
          </w:divBdr>
        </w:div>
        <w:div w:id="1319772898">
          <w:marLeft w:val="0"/>
          <w:marRight w:val="0"/>
          <w:marTop w:val="0"/>
          <w:marBottom w:val="0"/>
          <w:divBdr>
            <w:top w:val="none" w:sz="0" w:space="0" w:color="auto"/>
            <w:left w:val="none" w:sz="0" w:space="0" w:color="auto"/>
            <w:bottom w:val="none" w:sz="0" w:space="0" w:color="auto"/>
            <w:right w:val="none" w:sz="0" w:space="0" w:color="auto"/>
          </w:divBdr>
        </w:div>
        <w:div w:id="1320884720">
          <w:marLeft w:val="0"/>
          <w:marRight w:val="0"/>
          <w:marTop w:val="0"/>
          <w:marBottom w:val="0"/>
          <w:divBdr>
            <w:top w:val="none" w:sz="0" w:space="0" w:color="auto"/>
            <w:left w:val="none" w:sz="0" w:space="0" w:color="auto"/>
            <w:bottom w:val="none" w:sz="0" w:space="0" w:color="auto"/>
            <w:right w:val="none" w:sz="0" w:space="0" w:color="auto"/>
          </w:divBdr>
        </w:div>
        <w:div w:id="1352534748">
          <w:marLeft w:val="0"/>
          <w:marRight w:val="0"/>
          <w:marTop w:val="0"/>
          <w:marBottom w:val="0"/>
          <w:divBdr>
            <w:top w:val="none" w:sz="0" w:space="0" w:color="auto"/>
            <w:left w:val="none" w:sz="0" w:space="0" w:color="auto"/>
            <w:bottom w:val="none" w:sz="0" w:space="0" w:color="auto"/>
            <w:right w:val="none" w:sz="0" w:space="0" w:color="auto"/>
          </w:divBdr>
        </w:div>
        <w:div w:id="1364012628">
          <w:marLeft w:val="0"/>
          <w:marRight w:val="0"/>
          <w:marTop w:val="0"/>
          <w:marBottom w:val="0"/>
          <w:divBdr>
            <w:top w:val="none" w:sz="0" w:space="0" w:color="auto"/>
            <w:left w:val="none" w:sz="0" w:space="0" w:color="auto"/>
            <w:bottom w:val="none" w:sz="0" w:space="0" w:color="auto"/>
            <w:right w:val="none" w:sz="0" w:space="0" w:color="auto"/>
          </w:divBdr>
        </w:div>
        <w:div w:id="1365592224">
          <w:marLeft w:val="0"/>
          <w:marRight w:val="0"/>
          <w:marTop w:val="0"/>
          <w:marBottom w:val="0"/>
          <w:divBdr>
            <w:top w:val="none" w:sz="0" w:space="0" w:color="auto"/>
            <w:left w:val="none" w:sz="0" w:space="0" w:color="auto"/>
            <w:bottom w:val="none" w:sz="0" w:space="0" w:color="auto"/>
            <w:right w:val="none" w:sz="0" w:space="0" w:color="auto"/>
          </w:divBdr>
        </w:div>
        <w:div w:id="1377386761">
          <w:marLeft w:val="0"/>
          <w:marRight w:val="0"/>
          <w:marTop w:val="0"/>
          <w:marBottom w:val="0"/>
          <w:divBdr>
            <w:top w:val="none" w:sz="0" w:space="0" w:color="auto"/>
            <w:left w:val="none" w:sz="0" w:space="0" w:color="auto"/>
            <w:bottom w:val="none" w:sz="0" w:space="0" w:color="auto"/>
            <w:right w:val="none" w:sz="0" w:space="0" w:color="auto"/>
          </w:divBdr>
        </w:div>
        <w:div w:id="1387412622">
          <w:marLeft w:val="0"/>
          <w:marRight w:val="0"/>
          <w:marTop w:val="0"/>
          <w:marBottom w:val="0"/>
          <w:divBdr>
            <w:top w:val="none" w:sz="0" w:space="0" w:color="auto"/>
            <w:left w:val="none" w:sz="0" w:space="0" w:color="auto"/>
            <w:bottom w:val="none" w:sz="0" w:space="0" w:color="auto"/>
            <w:right w:val="none" w:sz="0" w:space="0" w:color="auto"/>
          </w:divBdr>
        </w:div>
        <w:div w:id="1398362969">
          <w:marLeft w:val="0"/>
          <w:marRight w:val="0"/>
          <w:marTop w:val="0"/>
          <w:marBottom w:val="0"/>
          <w:divBdr>
            <w:top w:val="none" w:sz="0" w:space="0" w:color="auto"/>
            <w:left w:val="none" w:sz="0" w:space="0" w:color="auto"/>
            <w:bottom w:val="none" w:sz="0" w:space="0" w:color="auto"/>
            <w:right w:val="none" w:sz="0" w:space="0" w:color="auto"/>
          </w:divBdr>
        </w:div>
        <w:div w:id="1406029864">
          <w:marLeft w:val="0"/>
          <w:marRight w:val="0"/>
          <w:marTop w:val="0"/>
          <w:marBottom w:val="0"/>
          <w:divBdr>
            <w:top w:val="none" w:sz="0" w:space="0" w:color="auto"/>
            <w:left w:val="none" w:sz="0" w:space="0" w:color="auto"/>
            <w:bottom w:val="none" w:sz="0" w:space="0" w:color="auto"/>
            <w:right w:val="none" w:sz="0" w:space="0" w:color="auto"/>
          </w:divBdr>
        </w:div>
        <w:div w:id="1447891601">
          <w:marLeft w:val="0"/>
          <w:marRight w:val="0"/>
          <w:marTop w:val="0"/>
          <w:marBottom w:val="0"/>
          <w:divBdr>
            <w:top w:val="none" w:sz="0" w:space="0" w:color="auto"/>
            <w:left w:val="none" w:sz="0" w:space="0" w:color="auto"/>
            <w:bottom w:val="none" w:sz="0" w:space="0" w:color="auto"/>
            <w:right w:val="none" w:sz="0" w:space="0" w:color="auto"/>
          </w:divBdr>
        </w:div>
        <w:div w:id="1460226467">
          <w:marLeft w:val="0"/>
          <w:marRight w:val="0"/>
          <w:marTop w:val="0"/>
          <w:marBottom w:val="0"/>
          <w:divBdr>
            <w:top w:val="none" w:sz="0" w:space="0" w:color="auto"/>
            <w:left w:val="none" w:sz="0" w:space="0" w:color="auto"/>
            <w:bottom w:val="none" w:sz="0" w:space="0" w:color="auto"/>
            <w:right w:val="none" w:sz="0" w:space="0" w:color="auto"/>
          </w:divBdr>
        </w:div>
        <w:div w:id="1482847670">
          <w:marLeft w:val="0"/>
          <w:marRight w:val="0"/>
          <w:marTop w:val="0"/>
          <w:marBottom w:val="0"/>
          <w:divBdr>
            <w:top w:val="none" w:sz="0" w:space="0" w:color="auto"/>
            <w:left w:val="none" w:sz="0" w:space="0" w:color="auto"/>
            <w:bottom w:val="none" w:sz="0" w:space="0" w:color="auto"/>
            <w:right w:val="none" w:sz="0" w:space="0" w:color="auto"/>
          </w:divBdr>
        </w:div>
        <w:div w:id="1576089727">
          <w:marLeft w:val="0"/>
          <w:marRight w:val="0"/>
          <w:marTop w:val="0"/>
          <w:marBottom w:val="0"/>
          <w:divBdr>
            <w:top w:val="none" w:sz="0" w:space="0" w:color="auto"/>
            <w:left w:val="none" w:sz="0" w:space="0" w:color="auto"/>
            <w:bottom w:val="none" w:sz="0" w:space="0" w:color="auto"/>
            <w:right w:val="none" w:sz="0" w:space="0" w:color="auto"/>
          </w:divBdr>
        </w:div>
        <w:div w:id="1612662515">
          <w:marLeft w:val="0"/>
          <w:marRight w:val="0"/>
          <w:marTop w:val="0"/>
          <w:marBottom w:val="0"/>
          <w:divBdr>
            <w:top w:val="none" w:sz="0" w:space="0" w:color="auto"/>
            <w:left w:val="none" w:sz="0" w:space="0" w:color="auto"/>
            <w:bottom w:val="none" w:sz="0" w:space="0" w:color="auto"/>
            <w:right w:val="none" w:sz="0" w:space="0" w:color="auto"/>
          </w:divBdr>
        </w:div>
        <w:div w:id="1635136286">
          <w:marLeft w:val="0"/>
          <w:marRight w:val="0"/>
          <w:marTop w:val="0"/>
          <w:marBottom w:val="0"/>
          <w:divBdr>
            <w:top w:val="none" w:sz="0" w:space="0" w:color="auto"/>
            <w:left w:val="none" w:sz="0" w:space="0" w:color="auto"/>
            <w:bottom w:val="none" w:sz="0" w:space="0" w:color="auto"/>
            <w:right w:val="none" w:sz="0" w:space="0" w:color="auto"/>
          </w:divBdr>
        </w:div>
        <w:div w:id="1699772244">
          <w:marLeft w:val="0"/>
          <w:marRight w:val="0"/>
          <w:marTop w:val="0"/>
          <w:marBottom w:val="0"/>
          <w:divBdr>
            <w:top w:val="none" w:sz="0" w:space="0" w:color="auto"/>
            <w:left w:val="none" w:sz="0" w:space="0" w:color="auto"/>
            <w:bottom w:val="none" w:sz="0" w:space="0" w:color="auto"/>
            <w:right w:val="none" w:sz="0" w:space="0" w:color="auto"/>
          </w:divBdr>
        </w:div>
        <w:div w:id="1702045860">
          <w:marLeft w:val="0"/>
          <w:marRight w:val="0"/>
          <w:marTop w:val="0"/>
          <w:marBottom w:val="0"/>
          <w:divBdr>
            <w:top w:val="none" w:sz="0" w:space="0" w:color="auto"/>
            <w:left w:val="none" w:sz="0" w:space="0" w:color="auto"/>
            <w:bottom w:val="none" w:sz="0" w:space="0" w:color="auto"/>
            <w:right w:val="none" w:sz="0" w:space="0" w:color="auto"/>
          </w:divBdr>
        </w:div>
        <w:div w:id="1726559333">
          <w:marLeft w:val="0"/>
          <w:marRight w:val="0"/>
          <w:marTop w:val="0"/>
          <w:marBottom w:val="0"/>
          <w:divBdr>
            <w:top w:val="none" w:sz="0" w:space="0" w:color="auto"/>
            <w:left w:val="none" w:sz="0" w:space="0" w:color="auto"/>
            <w:bottom w:val="none" w:sz="0" w:space="0" w:color="auto"/>
            <w:right w:val="none" w:sz="0" w:space="0" w:color="auto"/>
          </w:divBdr>
        </w:div>
        <w:div w:id="1762723564">
          <w:marLeft w:val="0"/>
          <w:marRight w:val="0"/>
          <w:marTop w:val="0"/>
          <w:marBottom w:val="0"/>
          <w:divBdr>
            <w:top w:val="none" w:sz="0" w:space="0" w:color="auto"/>
            <w:left w:val="none" w:sz="0" w:space="0" w:color="auto"/>
            <w:bottom w:val="none" w:sz="0" w:space="0" w:color="auto"/>
            <w:right w:val="none" w:sz="0" w:space="0" w:color="auto"/>
          </w:divBdr>
        </w:div>
        <w:div w:id="1768843322">
          <w:marLeft w:val="0"/>
          <w:marRight w:val="0"/>
          <w:marTop w:val="0"/>
          <w:marBottom w:val="0"/>
          <w:divBdr>
            <w:top w:val="none" w:sz="0" w:space="0" w:color="auto"/>
            <w:left w:val="none" w:sz="0" w:space="0" w:color="auto"/>
            <w:bottom w:val="none" w:sz="0" w:space="0" w:color="auto"/>
            <w:right w:val="none" w:sz="0" w:space="0" w:color="auto"/>
          </w:divBdr>
        </w:div>
        <w:div w:id="1776097767">
          <w:marLeft w:val="0"/>
          <w:marRight w:val="0"/>
          <w:marTop w:val="0"/>
          <w:marBottom w:val="0"/>
          <w:divBdr>
            <w:top w:val="none" w:sz="0" w:space="0" w:color="auto"/>
            <w:left w:val="none" w:sz="0" w:space="0" w:color="auto"/>
            <w:bottom w:val="none" w:sz="0" w:space="0" w:color="auto"/>
            <w:right w:val="none" w:sz="0" w:space="0" w:color="auto"/>
          </w:divBdr>
        </w:div>
        <w:div w:id="1809202038">
          <w:marLeft w:val="0"/>
          <w:marRight w:val="0"/>
          <w:marTop w:val="0"/>
          <w:marBottom w:val="0"/>
          <w:divBdr>
            <w:top w:val="none" w:sz="0" w:space="0" w:color="auto"/>
            <w:left w:val="none" w:sz="0" w:space="0" w:color="auto"/>
            <w:bottom w:val="none" w:sz="0" w:space="0" w:color="auto"/>
            <w:right w:val="none" w:sz="0" w:space="0" w:color="auto"/>
          </w:divBdr>
        </w:div>
        <w:div w:id="1830243407">
          <w:marLeft w:val="0"/>
          <w:marRight w:val="0"/>
          <w:marTop w:val="0"/>
          <w:marBottom w:val="0"/>
          <w:divBdr>
            <w:top w:val="none" w:sz="0" w:space="0" w:color="auto"/>
            <w:left w:val="none" w:sz="0" w:space="0" w:color="auto"/>
            <w:bottom w:val="none" w:sz="0" w:space="0" w:color="auto"/>
            <w:right w:val="none" w:sz="0" w:space="0" w:color="auto"/>
          </w:divBdr>
        </w:div>
        <w:div w:id="1847943366">
          <w:marLeft w:val="0"/>
          <w:marRight w:val="0"/>
          <w:marTop w:val="0"/>
          <w:marBottom w:val="0"/>
          <w:divBdr>
            <w:top w:val="none" w:sz="0" w:space="0" w:color="auto"/>
            <w:left w:val="none" w:sz="0" w:space="0" w:color="auto"/>
            <w:bottom w:val="none" w:sz="0" w:space="0" w:color="auto"/>
            <w:right w:val="none" w:sz="0" w:space="0" w:color="auto"/>
          </w:divBdr>
        </w:div>
        <w:div w:id="1875341266">
          <w:marLeft w:val="0"/>
          <w:marRight w:val="0"/>
          <w:marTop w:val="0"/>
          <w:marBottom w:val="0"/>
          <w:divBdr>
            <w:top w:val="none" w:sz="0" w:space="0" w:color="auto"/>
            <w:left w:val="none" w:sz="0" w:space="0" w:color="auto"/>
            <w:bottom w:val="none" w:sz="0" w:space="0" w:color="auto"/>
            <w:right w:val="none" w:sz="0" w:space="0" w:color="auto"/>
          </w:divBdr>
        </w:div>
        <w:div w:id="1879391857">
          <w:marLeft w:val="0"/>
          <w:marRight w:val="0"/>
          <w:marTop w:val="0"/>
          <w:marBottom w:val="0"/>
          <w:divBdr>
            <w:top w:val="none" w:sz="0" w:space="0" w:color="auto"/>
            <w:left w:val="none" w:sz="0" w:space="0" w:color="auto"/>
            <w:bottom w:val="none" w:sz="0" w:space="0" w:color="auto"/>
            <w:right w:val="none" w:sz="0" w:space="0" w:color="auto"/>
          </w:divBdr>
        </w:div>
        <w:div w:id="1894997822">
          <w:marLeft w:val="0"/>
          <w:marRight w:val="0"/>
          <w:marTop w:val="0"/>
          <w:marBottom w:val="0"/>
          <w:divBdr>
            <w:top w:val="none" w:sz="0" w:space="0" w:color="auto"/>
            <w:left w:val="none" w:sz="0" w:space="0" w:color="auto"/>
            <w:bottom w:val="none" w:sz="0" w:space="0" w:color="auto"/>
            <w:right w:val="none" w:sz="0" w:space="0" w:color="auto"/>
          </w:divBdr>
        </w:div>
        <w:div w:id="1901093621">
          <w:marLeft w:val="0"/>
          <w:marRight w:val="0"/>
          <w:marTop w:val="0"/>
          <w:marBottom w:val="0"/>
          <w:divBdr>
            <w:top w:val="none" w:sz="0" w:space="0" w:color="auto"/>
            <w:left w:val="none" w:sz="0" w:space="0" w:color="auto"/>
            <w:bottom w:val="none" w:sz="0" w:space="0" w:color="auto"/>
            <w:right w:val="none" w:sz="0" w:space="0" w:color="auto"/>
          </w:divBdr>
        </w:div>
        <w:div w:id="1910773328">
          <w:marLeft w:val="0"/>
          <w:marRight w:val="0"/>
          <w:marTop w:val="0"/>
          <w:marBottom w:val="0"/>
          <w:divBdr>
            <w:top w:val="none" w:sz="0" w:space="0" w:color="auto"/>
            <w:left w:val="none" w:sz="0" w:space="0" w:color="auto"/>
            <w:bottom w:val="none" w:sz="0" w:space="0" w:color="auto"/>
            <w:right w:val="none" w:sz="0" w:space="0" w:color="auto"/>
          </w:divBdr>
        </w:div>
        <w:div w:id="1931893246">
          <w:marLeft w:val="0"/>
          <w:marRight w:val="0"/>
          <w:marTop w:val="0"/>
          <w:marBottom w:val="0"/>
          <w:divBdr>
            <w:top w:val="none" w:sz="0" w:space="0" w:color="auto"/>
            <w:left w:val="none" w:sz="0" w:space="0" w:color="auto"/>
            <w:bottom w:val="none" w:sz="0" w:space="0" w:color="auto"/>
            <w:right w:val="none" w:sz="0" w:space="0" w:color="auto"/>
          </w:divBdr>
        </w:div>
        <w:div w:id="1951353246">
          <w:marLeft w:val="0"/>
          <w:marRight w:val="0"/>
          <w:marTop w:val="0"/>
          <w:marBottom w:val="0"/>
          <w:divBdr>
            <w:top w:val="none" w:sz="0" w:space="0" w:color="auto"/>
            <w:left w:val="none" w:sz="0" w:space="0" w:color="auto"/>
            <w:bottom w:val="none" w:sz="0" w:space="0" w:color="auto"/>
            <w:right w:val="none" w:sz="0" w:space="0" w:color="auto"/>
          </w:divBdr>
        </w:div>
        <w:div w:id="1960649944">
          <w:marLeft w:val="0"/>
          <w:marRight w:val="0"/>
          <w:marTop w:val="0"/>
          <w:marBottom w:val="0"/>
          <w:divBdr>
            <w:top w:val="none" w:sz="0" w:space="0" w:color="auto"/>
            <w:left w:val="none" w:sz="0" w:space="0" w:color="auto"/>
            <w:bottom w:val="none" w:sz="0" w:space="0" w:color="auto"/>
            <w:right w:val="none" w:sz="0" w:space="0" w:color="auto"/>
          </w:divBdr>
        </w:div>
        <w:div w:id="1975670711">
          <w:marLeft w:val="0"/>
          <w:marRight w:val="0"/>
          <w:marTop w:val="0"/>
          <w:marBottom w:val="0"/>
          <w:divBdr>
            <w:top w:val="none" w:sz="0" w:space="0" w:color="auto"/>
            <w:left w:val="none" w:sz="0" w:space="0" w:color="auto"/>
            <w:bottom w:val="none" w:sz="0" w:space="0" w:color="auto"/>
            <w:right w:val="none" w:sz="0" w:space="0" w:color="auto"/>
          </w:divBdr>
        </w:div>
        <w:div w:id="1986229174">
          <w:marLeft w:val="0"/>
          <w:marRight w:val="0"/>
          <w:marTop w:val="0"/>
          <w:marBottom w:val="0"/>
          <w:divBdr>
            <w:top w:val="none" w:sz="0" w:space="0" w:color="auto"/>
            <w:left w:val="none" w:sz="0" w:space="0" w:color="auto"/>
            <w:bottom w:val="none" w:sz="0" w:space="0" w:color="auto"/>
            <w:right w:val="none" w:sz="0" w:space="0" w:color="auto"/>
          </w:divBdr>
        </w:div>
        <w:div w:id="2010062104">
          <w:marLeft w:val="0"/>
          <w:marRight w:val="0"/>
          <w:marTop w:val="0"/>
          <w:marBottom w:val="0"/>
          <w:divBdr>
            <w:top w:val="none" w:sz="0" w:space="0" w:color="auto"/>
            <w:left w:val="none" w:sz="0" w:space="0" w:color="auto"/>
            <w:bottom w:val="none" w:sz="0" w:space="0" w:color="auto"/>
            <w:right w:val="none" w:sz="0" w:space="0" w:color="auto"/>
          </w:divBdr>
        </w:div>
        <w:div w:id="2011718346">
          <w:marLeft w:val="0"/>
          <w:marRight w:val="0"/>
          <w:marTop w:val="0"/>
          <w:marBottom w:val="0"/>
          <w:divBdr>
            <w:top w:val="none" w:sz="0" w:space="0" w:color="auto"/>
            <w:left w:val="none" w:sz="0" w:space="0" w:color="auto"/>
            <w:bottom w:val="none" w:sz="0" w:space="0" w:color="auto"/>
            <w:right w:val="none" w:sz="0" w:space="0" w:color="auto"/>
          </w:divBdr>
        </w:div>
        <w:div w:id="2019230528">
          <w:marLeft w:val="0"/>
          <w:marRight w:val="0"/>
          <w:marTop w:val="0"/>
          <w:marBottom w:val="0"/>
          <w:divBdr>
            <w:top w:val="none" w:sz="0" w:space="0" w:color="auto"/>
            <w:left w:val="none" w:sz="0" w:space="0" w:color="auto"/>
            <w:bottom w:val="none" w:sz="0" w:space="0" w:color="auto"/>
            <w:right w:val="none" w:sz="0" w:space="0" w:color="auto"/>
          </w:divBdr>
        </w:div>
        <w:div w:id="2049451583">
          <w:marLeft w:val="0"/>
          <w:marRight w:val="0"/>
          <w:marTop w:val="0"/>
          <w:marBottom w:val="0"/>
          <w:divBdr>
            <w:top w:val="none" w:sz="0" w:space="0" w:color="auto"/>
            <w:left w:val="none" w:sz="0" w:space="0" w:color="auto"/>
            <w:bottom w:val="none" w:sz="0" w:space="0" w:color="auto"/>
            <w:right w:val="none" w:sz="0" w:space="0" w:color="auto"/>
          </w:divBdr>
        </w:div>
        <w:div w:id="2062052790">
          <w:marLeft w:val="0"/>
          <w:marRight w:val="0"/>
          <w:marTop w:val="0"/>
          <w:marBottom w:val="0"/>
          <w:divBdr>
            <w:top w:val="none" w:sz="0" w:space="0" w:color="auto"/>
            <w:left w:val="none" w:sz="0" w:space="0" w:color="auto"/>
            <w:bottom w:val="none" w:sz="0" w:space="0" w:color="auto"/>
            <w:right w:val="none" w:sz="0" w:space="0" w:color="auto"/>
          </w:divBdr>
        </w:div>
        <w:div w:id="2080517593">
          <w:marLeft w:val="0"/>
          <w:marRight w:val="0"/>
          <w:marTop w:val="0"/>
          <w:marBottom w:val="0"/>
          <w:divBdr>
            <w:top w:val="none" w:sz="0" w:space="0" w:color="auto"/>
            <w:left w:val="none" w:sz="0" w:space="0" w:color="auto"/>
            <w:bottom w:val="none" w:sz="0" w:space="0" w:color="auto"/>
            <w:right w:val="none" w:sz="0" w:space="0" w:color="auto"/>
          </w:divBdr>
        </w:div>
        <w:div w:id="2087989579">
          <w:marLeft w:val="0"/>
          <w:marRight w:val="0"/>
          <w:marTop w:val="0"/>
          <w:marBottom w:val="0"/>
          <w:divBdr>
            <w:top w:val="none" w:sz="0" w:space="0" w:color="auto"/>
            <w:left w:val="none" w:sz="0" w:space="0" w:color="auto"/>
            <w:bottom w:val="none" w:sz="0" w:space="0" w:color="auto"/>
            <w:right w:val="none" w:sz="0" w:space="0" w:color="auto"/>
          </w:divBdr>
        </w:div>
        <w:div w:id="2093693661">
          <w:marLeft w:val="0"/>
          <w:marRight w:val="0"/>
          <w:marTop w:val="0"/>
          <w:marBottom w:val="0"/>
          <w:divBdr>
            <w:top w:val="none" w:sz="0" w:space="0" w:color="auto"/>
            <w:left w:val="none" w:sz="0" w:space="0" w:color="auto"/>
            <w:bottom w:val="none" w:sz="0" w:space="0" w:color="auto"/>
            <w:right w:val="none" w:sz="0" w:space="0" w:color="auto"/>
          </w:divBdr>
        </w:div>
        <w:div w:id="2102604388">
          <w:marLeft w:val="0"/>
          <w:marRight w:val="0"/>
          <w:marTop w:val="0"/>
          <w:marBottom w:val="0"/>
          <w:divBdr>
            <w:top w:val="none" w:sz="0" w:space="0" w:color="auto"/>
            <w:left w:val="none" w:sz="0" w:space="0" w:color="auto"/>
            <w:bottom w:val="none" w:sz="0" w:space="0" w:color="auto"/>
            <w:right w:val="none" w:sz="0" w:space="0" w:color="auto"/>
          </w:divBdr>
        </w:div>
        <w:div w:id="2110155083">
          <w:marLeft w:val="0"/>
          <w:marRight w:val="0"/>
          <w:marTop w:val="0"/>
          <w:marBottom w:val="0"/>
          <w:divBdr>
            <w:top w:val="none" w:sz="0" w:space="0" w:color="auto"/>
            <w:left w:val="none" w:sz="0" w:space="0" w:color="auto"/>
            <w:bottom w:val="none" w:sz="0" w:space="0" w:color="auto"/>
            <w:right w:val="none" w:sz="0" w:space="0" w:color="auto"/>
          </w:divBdr>
        </w:div>
        <w:div w:id="2113357082">
          <w:marLeft w:val="0"/>
          <w:marRight w:val="0"/>
          <w:marTop w:val="0"/>
          <w:marBottom w:val="0"/>
          <w:divBdr>
            <w:top w:val="none" w:sz="0" w:space="0" w:color="auto"/>
            <w:left w:val="none" w:sz="0" w:space="0" w:color="auto"/>
            <w:bottom w:val="none" w:sz="0" w:space="0" w:color="auto"/>
            <w:right w:val="none" w:sz="0" w:space="0" w:color="auto"/>
          </w:divBdr>
        </w:div>
        <w:div w:id="2114277209">
          <w:marLeft w:val="0"/>
          <w:marRight w:val="0"/>
          <w:marTop w:val="0"/>
          <w:marBottom w:val="0"/>
          <w:divBdr>
            <w:top w:val="none" w:sz="0" w:space="0" w:color="auto"/>
            <w:left w:val="none" w:sz="0" w:space="0" w:color="auto"/>
            <w:bottom w:val="none" w:sz="0" w:space="0" w:color="auto"/>
            <w:right w:val="none" w:sz="0" w:space="0" w:color="auto"/>
          </w:divBdr>
        </w:div>
        <w:div w:id="2136630435">
          <w:marLeft w:val="0"/>
          <w:marRight w:val="0"/>
          <w:marTop w:val="0"/>
          <w:marBottom w:val="0"/>
          <w:divBdr>
            <w:top w:val="none" w:sz="0" w:space="0" w:color="auto"/>
            <w:left w:val="none" w:sz="0" w:space="0" w:color="auto"/>
            <w:bottom w:val="none" w:sz="0" w:space="0" w:color="auto"/>
            <w:right w:val="none" w:sz="0" w:space="0" w:color="auto"/>
          </w:divBdr>
        </w:div>
      </w:divsChild>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
    <w:div w:id="2029060847">
      <w:bodyDiv w:val="1"/>
      <w:marLeft w:val="0"/>
      <w:marRight w:val="0"/>
      <w:marTop w:val="0"/>
      <w:marBottom w:val="0"/>
      <w:divBdr>
        <w:top w:val="none" w:sz="0" w:space="0" w:color="auto"/>
        <w:left w:val="none" w:sz="0" w:space="0" w:color="auto"/>
        <w:bottom w:val="none" w:sz="0" w:space="0" w:color="auto"/>
        <w:right w:val="none" w:sz="0" w:space="0" w:color="auto"/>
      </w:divBdr>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
    <w:div w:id="2052073307">
      <w:bodyDiv w:val="1"/>
      <w:marLeft w:val="0"/>
      <w:marRight w:val="0"/>
      <w:marTop w:val="0"/>
      <w:marBottom w:val="0"/>
      <w:divBdr>
        <w:top w:val="none" w:sz="0" w:space="0" w:color="auto"/>
        <w:left w:val="none" w:sz="0" w:space="0" w:color="auto"/>
        <w:bottom w:val="none" w:sz="0" w:space="0" w:color="auto"/>
        <w:right w:val="none" w:sz="0" w:space="0" w:color="auto"/>
      </w:divBdr>
    </w:div>
    <w:div w:id="2058356507">
      <w:bodyDiv w:val="1"/>
      <w:marLeft w:val="0"/>
      <w:marRight w:val="0"/>
      <w:marTop w:val="0"/>
      <w:marBottom w:val="0"/>
      <w:divBdr>
        <w:top w:val="none" w:sz="0" w:space="0" w:color="auto"/>
        <w:left w:val="none" w:sz="0" w:space="0" w:color="auto"/>
        <w:bottom w:val="none" w:sz="0" w:space="0" w:color="auto"/>
        <w:right w:val="none" w:sz="0" w:space="0" w:color="auto"/>
      </w:divBdr>
      <w:divsChild>
        <w:div w:id="614366577">
          <w:marLeft w:val="0"/>
          <w:marRight w:val="0"/>
          <w:marTop w:val="0"/>
          <w:marBottom w:val="0"/>
          <w:divBdr>
            <w:top w:val="none" w:sz="0" w:space="0" w:color="auto"/>
            <w:left w:val="none" w:sz="0" w:space="0" w:color="auto"/>
            <w:bottom w:val="none" w:sz="0" w:space="0" w:color="auto"/>
            <w:right w:val="none" w:sz="0" w:space="0" w:color="auto"/>
          </w:divBdr>
          <w:divsChild>
            <w:div w:id="1152985842">
              <w:marLeft w:val="0"/>
              <w:marRight w:val="0"/>
              <w:marTop w:val="0"/>
              <w:marBottom w:val="0"/>
              <w:divBdr>
                <w:top w:val="none" w:sz="0" w:space="0" w:color="auto"/>
                <w:left w:val="none" w:sz="0" w:space="0" w:color="auto"/>
                <w:bottom w:val="none" w:sz="0" w:space="0" w:color="auto"/>
                <w:right w:val="none" w:sz="0" w:space="0" w:color="auto"/>
              </w:divBdr>
              <w:divsChild>
                <w:div w:id="1378627606">
                  <w:marLeft w:val="0"/>
                  <w:marRight w:val="0"/>
                  <w:marTop w:val="0"/>
                  <w:marBottom w:val="0"/>
                  <w:divBdr>
                    <w:top w:val="none" w:sz="0" w:space="0" w:color="auto"/>
                    <w:left w:val="none" w:sz="0" w:space="0" w:color="auto"/>
                    <w:bottom w:val="none" w:sz="0" w:space="0" w:color="auto"/>
                    <w:right w:val="none" w:sz="0" w:space="0" w:color="auto"/>
                  </w:divBdr>
                  <w:divsChild>
                    <w:div w:id="18576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632972">
      <w:bodyDiv w:val="1"/>
      <w:marLeft w:val="0"/>
      <w:marRight w:val="0"/>
      <w:marTop w:val="0"/>
      <w:marBottom w:val="0"/>
      <w:divBdr>
        <w:top w:val="none" w:sz="0" w:space="0" w:color="auto"/>
        <w:left w:val="none" w:sz="0" w:space="0" w:color="auto"/>
        <w:bottom w:val="none" w:sz="0" w:space="0" w:color="auto"/>
        <w:right w:val="none" w:sz="0" w:space="0" w:color="auto"/>
      </w:divBdr>
    </w:div>
    <w:div w:id="2093576235">
      <w:bodyDiv w:val="1"/>
      <w:marLeft w:val="0"/>
      <w:marRight w:val="0"/>
      <w:marTop w:val="0"/>
      <w:marBottom w:val="0"/>
      <w:divBdr>
        <w:top w:val="none" w:sz="0" w:space="0" w:color="auto"/>
        <w:left w:val="none" w:sz="0" w:space="0" w:color="auto"/>
        <w:bottom w:val="none" w:sz="0" w:space="0" w:color="auto"/>
        <w:right w:val="none" w:sz="0" w:space="0" w:color="auto"/>
      </w:divBdr>
    </w:div>
    <w:div w:id="2103642266">
      <w:bodyDiv w:val="1"/>
      <w:marLeft w:val="0"/>
      <w:marRight w:val="0"/>
      <w:marTop w:val="0"/>
      <w:marBottom w:val="0"/>
      <w:divBdr>
        <w:top w:val="none" w:sz="0" w:space="0" w:color="auto"/>
        <w:left w:val="none" w:sz="0" w:space="0" w:color="auto"/>
        <w:bottom w:val="none" w:sz="0" w:space="0" w:color="auto"/>
        <w:right w:val="none" w:sz="0" w:space="0" w:color="auto"/>
      </w:divBdr>
    </w:div>
    <w:div w:id="2113281323">
      <w:bodyDiv w:val="1"/>
      <w:marLeft w:val="0"/>
      <w:marRight w:val="0"/>
      <w:marTop w:val="0"/>
      <w:marBottom w:val="0"/>
      <w:divBdr>
        <w:top w:val="none" w:sz="0" w:space="0" w:color="auto"/>
        <w:left w:val="none" w:sz="0" w:space="0" w:color="auto"/>
        <w:bottom w:val="none" w:sz="0" w:space="0" w:color="auto"/>
        <w:right w:val="none" w:sz="0" w:space="0" w:color="auto"/>
      </w:divBdr>
    </w:div>
    <w:div w:id="21338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e01f3f3-8e32-4156-90b4-cbe86af56aa6" xsi:nil="true"/>
    <lcf76f155ced4ddcb4097134ff3c332f xmlns="0ea6a934-6a77-4073-9f54-0635dda5d780">
      <Terms xmlns="http://schemas.microsoft.com/office/infopath/2007/PartnerControls"/>
    </lcf76f155ced4ddcb4097134ff3c332f>
    <SharedWithUsers xmlns="de01f3f3-8e32-4156-90b4-cbe86af56aa6">
      <UserInfo>
        <DisplayName>Hugo Enrique Pacheco De Leon</DisplayName>
        <AccountId>25</AccountId>
        <AccountType/>
      </UserInfo>
      <UserInfo>
        <DisplayName>Libardo Acero Garcia</DisplayName>
        <AccountId>13</AccountId>
        <AccountType/>
      </UserInfo>
      <UserInfo>
        <DisplayName>Jorge Andres Amaya Montejo</DisplayName>
        <AccountId>7</AccountId>
        <AccountType/>
      </UserInfo>
      <UserInfo>
        <DisplayName>Juan Carlos Bonilla Borda</DisplayName>
        <AccountId>12</AccountId>
        <AccountType/>
      </UserInfo>
      <UserInfo>
        <DisplayName>Nataly Uribe</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34A7C6C32EBAB48A965984499C77C79" ma:contentTypeVersion="16" ma:contentTypeDescription="Crear nuevo documento." ma:contentTypeScope="" ma:versionID="65636fcd8b89224af886b6bcd46a21c0">
  <xsd:schema xmlns:xsd="http://www.w3.org/2001/XMLSchema" xmlns:xs="http://www.w3.org/2001/XMLSchema" xmlns:p="http://schemas.microsoft.com/office/2006/metadata/properties" xmlns:ns2="0ea6a934-6a77-4073-9f54-0635dda5d780" xmlns:ns3="de01f3f3-8e32-4156-90b4-cbe86af56aa6" targetNamespace="http://schemas.microsoft.com/office/2006/metadata/properties" ma:root="true" ma:fieldsID="1c8ee7d1e6d318b870adb0e6e35a4de8" ns2:_="" ns3:_="">
    <xsd:import namespace="0ea6a934-6a77-4073-9f54-0635dda5d780"/>
    <xsd:import namespace="de01f3f3-8e32-4156-90b4-cbe86af56a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a934-6a77-4073-9f54-0635dda5d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01f3f3-8e32-4156-90b4-cbe86af56aa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0288a511-7746-49c0-ba85-58529b771bc2}" ma:internalName="TaxCatchAll" ma:showField="CatchAllData" ma:web="de01f3f3-8e32-4156-90b4-cbe86af56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1C87E-42AF-48D8-8F22-8BEC626D7D20}">
  <ds:schemaRefs>
    <ds:schemaRef ds:uri="http://schemas.openxmlformats.org/officeDocument/2006/bibliography"/>
  </ds:schemaRefs>
</ds:datastoreItem>
</file>

<file path=customXml/itemProps2.xml><?xml version="1.0" encoding="utf-8"?>
<ds:datastoreItem xmlns:ds="http://schemas.openxmlformats.org/officeDocument/2006/customXml" ds:itemID="{252D3DA4-CB48-41A3-8073-D6D2DA8E00E9}">
  <ds:schemaRef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de01f3f3-8e32-4156-90b4-cbe86af56aa6"/>
    <ds:schemaRef ds:uri="0ea6a934-6a77-4073-9f54-0635dda5d780"/>
    <ds:schemaRef ds:uri="http://purl.org/dc/terms/"/>
  </ds:schemaRefs>
</ds:datastoreItem>
</file>

<file path=customXml/itemProps3.xml><?xml version="1.0" encoding="utf-8"?>
<ds:datastoreItem xmlns:ds="http://schemas.openxmlformats.org/officeDocument/2006/customXml" ds:itemID="{23638F5F-C8B8-43D5-9379-AAD27DC52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a934-6a77-4073-9f54-0635dda5d780"/>
    <ds:schemaRef ds:uri="de01f3f3-8e32-4156-90b4-cbe86af56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F9104-8EE6-44A9-A7DC-10124D657E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52</Pages>
  <Words>20754</Words>
  <Characters>114151</Characters>
  <Application>Microsoft Office Word</Application>
  <DocSecurity>0</DocSecurity>
  <Lines>951</Lines>
  <Paragraphs>269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León Granados</dc:creator>
  <cp:keywords/>
  <cp:lastModifiedBy>Jose Fernando Prada</cp:lastModifiedBy>
  <cp:revision>64</cp:revision>
  <cp:lastPrinted>2023-04-12T20:49:00Z</cp:lastPrinted>
  <dcterms:created xsi:type="dcterms:W3CDTF">2023-04-12T20:52:00Z</dcterms:created>
  <dcterms:modified xsi:type="dcterms:W3CDTF">2023-05-02T03:01:00Z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0x010100234A7C6C32EBAB48A965984499C77C79</vt:lpwstr>
  </property>
  <property fmtid="{D5CDD505-2E9C-101B-9397-08002B2CF9AE}" pid="3" name="MediaServiceImageTags">
    <vt:lpwstr/>
  </property>
</Properties>
</file>